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9F7725" w:rsidP="00AF6918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986C29">
        <w:rPr>
          <w:rFonts w:hint="eastAsia"/>
          <w:b/>
          <w:color w:val="000000"/>
          <w:sz w:val="32"/>
          <w:szCs w:val="32"/>
        </w:rPr>
        <w:t xml:space="preserve"> </w:t>
      </w:r>
      <w:r w:rsidR="00AF6918"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AF6918" w:rsidRPr="00986C29" w:rsidRDefault="00AF6918" w:rsidP="00AF691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2017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921CBE">
        <w:rPr>
          <w:rFonts w:ascii="宋体" w:hAnsi="宋体" w:hint="eastAsia"/>
          <w:color w:val="000000"/>
          <w:szCs w:val="21"/>
        </w:rPr>
        <w:t>11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921CBE"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986C29" w:rsidRDefault="00AF6918" w:rsidP="00AF6918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Pr="00986C2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      </w:t>
      </w:r>
      <w:r w:rsidR="00E50697" w:rsidRPr="005E6258">
        <w:rPr>
          <w:rFonts w:ascii="宋体" w:hAnsi="宋体" w:hint="eastAsia"/>
          <w:color w:val="000000"/>
          <w:sz w:val="28"/>
          <w:szCs w:val="28"/>
        </w:rPr>
        <w:t>15,256,580,721.68</w:t>
      </w:r>
      <w:r w:rsidRPr="00986C2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AF6918" w:rsidRPr="000147C5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921CBE"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921CBE"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 w:rsidR="00921CBE">
        <w:rPr>
          <w:rFonts w:ascii="宋体" w:hAnsi="宋体" w:hint="eastAsia"/>
          <w:color w:val="000000"/>
          <w:sz w:val="28"/>
          <w:szCs w:val="28"/>
        </w:rPr>
        <w:t>30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734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1326"/>
        <w:gridCol w:w="1276"/>
        <w:gridCol w:w="1275"/>
        <w:gridCol w:w="1276"/>
        <w:gridCol w:w="1276"/>
        <w:gridCol w:w="1226"/>
      </w:tblGrid>
      <w:tr w:rsidR="00AF6918" w:rsidRPr="000147C5" w:rsidTr="005E0CC9">
        <w:trPr>
          <w:trHeight w:val="838"/>
          <w:jc w:val="center"/>
        </w:trPr>
        <w:tc>
          <w:tcPr>
            <w:tcW w:w="2079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32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≤T&lt;14</w:t>
            </w:r>
          </w:p>
        </w:tc>
        <w:tc>
          <w:tcPr>
            <w:tcW w:w="1275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27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</w:t>
            </w: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≤T&lt;90</w:t>
            </w:r>
          </w:p>
        </w:tc>
        <w:tc>
          <w:tcPr>
            <w:tcW w:w="122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AF6918" w:rsidRPr="000147C5" w:rsidTr="005E0CC9">
        <w:trPr>
          <w:trHeight w:val="838"/>
          <w:jc w:val="center"/>
        </w:trPr>
        <w:tc>
          <w:tcPr>
            <w:tcW w:w="2079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32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27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2.10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2.90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AF6918" w:rsidRPr="000147C5" w:rsidRDefault="00AF6918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26" w:type="dxa"/>
            <w:vAlign w:val="center"/>
          </w:tcPr>
          <w:p w:rsidR="00AF6918" w:rsidRPr="000147C5" w:rsidRDefault="00AF6918" w:rsidP="005E0CC9">
            <w:pPr>
              <w:ind w:rightChars="-64" w:right="-13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</w:tr>
    </w:tbl>
    <w:p w:rsidR="00AF6918" w:rsidRPr="000147C5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2A4AAC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7B2BAEB" wp14:editId="7E5612B9">
            <wp:extent cx="3495260" cy="1843709"/>
            <wp:effectExtent l="38100" t="0" r="10160" b="2349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957583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A03766" wp14:editId="1B9CA08B">
            <wp:extent cx="3448050" cy="1647825"/>
            <wp:effectExtent l="0" t="0" r="1905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AF6918" w:rsidRDefault="00957583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30533FDF" wp14:editId="6081CA35">
            <wp:extent cx="5274310" cy="2780611"/>
            <wp:effectExtent l="0" t="0" r="21590" b="203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AF691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B97649">
        <w:rPr>
          <w:rFonts w:ascii="宋体" w:hAnsi="宋体" w:hint="eastAsia"/>
          <w:color w:val="000000"/>
          <w:sz w:val="28"/>
          <w:szCs w:val="28"/>
        </w:rPr>
        <w:t>2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B97649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AF6918" w:rsidRDefault="00473751"/>
    <w:sectPr w:rsidR="0066201C" w:rsidRPr="00AF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51" w:rsidRDefault="00473751" w:rsidP="00AF6918">
      <w:r>
        <w:separator/>
      </w:r>
    </w:p>
  </w:endnote>
  <w:endnote w:type="continuationSeparator" w:id="0">
    <w:p w:rsidR="00473751" w:rsidRDefault="00473751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51" w:rsidRDefault="00473751" w:rsidP="00AF6918">
      <w:r>
        <w:separator/>
      </w:r>
    </w:p>
  </w:footnote>
  <w:footnote w:type="continuationSeparator" w:id="0">
    <w:p w:rsidR="00473751" w:rsidRDefault="00473751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110CC8"/>
    <w:rsid w:val="00125631"/>
    <w:rsid w:val="0012735F"/>
    <w:rsid w:val="00153C80"/>
    <w:rsid w:val="002A4AAC"/>
    <w:rsid w:val="0036582A"/>
    <w:rsid w:val="0037348F"/>
    <w:rsid w:val="00473751"/>
    <w:rsid w:val="006A5B98"/>
    <w:rsid w:val="006C7A59"/>
    <w:rsid w:val="006E5D2E"/>
    <w:rsid w:val="007D225C"/>
    <w:rsid w:val="00921CBE"/>
    <w:rsid w:val="00957583"/>
    <w:rsid w:val="009D00B1"/>
    <w:rsid w:val="009F7725"/>
    <w:rsid w:val="00A42A31"/>
    <w:rsid w:val="00A66F45"/>
    <w:rsid w:val="00AF6918"/>
    <w:rsid w:val="00B97649"/>
    <w:rsid w:val="00C42AEA"/>
    <w:rsid w:val="00E50697"/>
    <w:rsid w:val="00E53C06"/>
    <w:rsid w:val="00F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9.1961113050245194E-2"/>
                  <c:y val="0.137920897495212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'2017年11月'!$A$63:$A$65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'2017年11月'!$B$63:$B$65</c:f>
              <c:numCache>
                <c:formatCode>0.00%</c:formatCode>
                <c:ptCount val="3"/>
                <c:pt idx="0">
                  <c:v>0.10334476322746065</c:v>
                </c:pt>
                <c:pt idx="1">
                  <c:v>0.77573632628303157</c:v>
                </c:pt>
                <c:pt idx="2">
                  <c:v>0.12091891048950788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'2017年11月'!$A$70:$A$74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'2017年11月'!$B$70:$B$74</c:f>
              <c:numCache>
                <c:formatCode>0.00%</c:formatCode>
                <c:ptCount val="5"/>
                <c:pt idx="0">
                  <c:v>7.9766320638833099E-2</c:v>
                </c:pt>
                <c:pt idx="1">
                  <c:v>0.25953404416384585</c:v>
                </c:pt>
                <c:pt idx="2">
                  <c:v>9.9996986391453199E-2</c:v>
                </c:pt>
                <c:pt idx="3">
                  <c:v>0.52212326386259345</c:v>
                </c:pt>
                <c:pt idx="4">
                  <c:v>3.8579384943274384E-2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'2017年11月'!$B$77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'2017年11月'!$A$78:$A$89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电力、燃气及水的生产和供应业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'2017年11月'!$B$78:$B$89</c:f>
              <c:numCache>
                <c:formatCode>0.00%</c:formatCode>
                <c:ptCount val="12"/>
                <c:pt idx="0">
                  <c:v>4.6252915536594753E-2</c:v>
                </c:pt>
                <c:pt idx="1">
                  <c:v>0.50722382745934946</c:v>
                </c:pt>
                <c:pt idx="2">
                  <c:v>7.7938151400554309E-2</c:v>
                </c:pt>
                <c:pt idx="3">
                  <c:v>0</c:v>
                </c:pt>
                <c:pt idx="4">
                  <c:v>2.9538559380810084E-2</c:v>
                </c:pt>
                <c:pt idx="5">
                  <c:v>7.6379388372543225E-2</c:v>
                </c:pt>
                <c:pt idx="6">
                  <c:v>0.10911341196077604</c:v>
                </c:pt>
                <c:pt idx="7">
                  <c:v>1.4028867252099776E-2</c:v>
                </c:pt>
                <c:pt idx="8">
                  <c:v>3.1175260560221726E-2</c:v>
                </c:pt>
                <c:pt idx="9">
                  <c:v>2.8057734504199551E-2</c:v>
                </c:pt>
                <c:pt idx="10">
                  <c:v>3.1175260560221724E-3</c:v>
                </c:pt>
                <c:pt idx="11">
                  <c:v>7.7174357516828884E-2</c:v>
                </c:pt>
              </c:numCache>
            </c:numRef>
          </c:val>
        </c:ser>
        <c:ser>
          <c:idx val="1"/>
          <c:order val="1"/>
          <c:tx>
            <c:strRef>
              <c:f>'2017年11月'!$C$77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'2017年11月'!$A$78:$A$89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电力、燃气及水的生产和供应业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'2017年11月'!$C$78:$C$89</c:f>
              <c:numCache>
                <c:formatCode>0.00%</c:formatCode>
                <c:ptCount val="12"/>
                <c:pt idx="0">
                  <c:v>4.3879513167022502E-2</c:v>
                </c:pt>
                <c:pt idx="1">
                  <c:v>0.49746291103219703</c:v>
                </c:pt>
                <c:pt idx="2">
                  <c:v>7.3938866359424232E-2</c:v>
                </c:pt>
                <c:pt idx="3">
                  <c:v>3.9926987834089092E-3</c:v>
                </c:pt>
                <c:pt idx="4">
                  <c:v>3.1719773668193001E-2</c:v>
                </c:pt>
                <c:pt idx="5">
                  <c:v>0.10795074488475939</c:v>
                </c:pt>
                <c:pt idx="6">
                  <c:v>0.10351441290319394</c:v>
                </c:pt>
                <c:pt idx="7">
                  <c:v>1.3308995944696363E-2</c:v>
                </c:pt>
                <c:pt idx="8">
                  <c:v>2.9575546543769694E-2</c:v>
                </c:pt>
                <c:pt idx="9">
                  <c:v>1.8484716589856058E-2</c:v>
                </c:pt>
                <c:pt idx="10">
                  <c:v>2.9575546543769695E-3</c:v>
                </c:pt>
                <c:pt idx="11">
                  <c:v>7.3214265469101883E-2</c:v>
                </c:pt>
              </c:numCache>
            </c:numRef>
          </c:val>
        </c:ser>
        <c:ser>
          <c:idx val="2"/>
          <c:order val="2"/>
          <c:tx>
            <c:strRef>
              <c:f>'2017年11月'!$D$77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'2017年11月'!$A$78:$A$89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电力、燃气及水的生产和供应业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'2017年11月'!$D$78:$D$89</c:f>
              <c:numCache>
                <c:formatCode>0.00%</c:formatCode>
                <c:ptCount val="12"/>
                <c:pt idx="0">
                  <c:v>2.3734023695722514E-3</c:v>
                </c:pt>
                <c:pt idx="1">
                  <c:v>9.7609164271524329E-3</c:v>
                </c:pt>
                <c:pt idx="2">
                  <c:v>3.9992850411300768E-3</c:v>
                </c:pt>
                <c:pt idx="3">
                  <c:v>-3.9926987834089092E-3</c:v>
                </c:pt>
                <c:pt idx="4">
                  <c:v>-2.1812142873829168E-3</c:v>
                </c:pt>
                <c:pt idx="5">
                  <c:v>-3.1571356512216167E-2</c:v>
                </c:pt>
                <c:pt idx="6">
                  <c:v>5.5989990575820991E-3</c:v>
                </c:pt>
                <c:pt idx="7">
                  <c:v>7.1987130740341215E-4</c:v>
                </c:pt>
                <c:pt idx="8">
                  <c:v>1.5997140164520328E-3</c:v>
                </c:pt>
                <c:pt idx="9">
                  <c:v>9.5730179143434929E-3</c:v>
                </c:pt>
                <c:pt idx="10">
                  <c:v>1.5997140164520285E-4</c:v>
                </c:pt>
                <c:pt idx="11">
                  <c:v>3.9600920477270013E-3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269568"/>
        <c:axId val="130271104"/>
      </c:barChart>
      <c:catAx>
        <c:axId val="130269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271104"/>
        <c:crosses val="autoZero"/>
        <c:auto val="1"/>
        <c:lblAlgn val="ctr"/>
        <c:lblOffset val="100"/>
        <c:noMultiLvlLbl val="0"/>
      </c:catAx>
      <c:valAx>
        <c:axId val="130271104"/>
        <c:scaling>
          <c:orientation val="minMax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0269568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admin</cp:lastModifiedBy>
  <cp:revision>7</cp:revision>
  <dcterms:created xsi:type="dcterms:W3CDTF">2017-12-07T07:34:00Z</dcterms:created>
  <dcterms:modified xsi:type="dcterms:W3CDTF">2017-12-08T00:58:00Z</dcterms:modified>
</cp:coreProperties>
</file>