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45" w:rsidRDefault="00EA3845" w:rsidP="00EA3845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“乾元—量化精选”开放式净值型理财产品</w:t>
      </w:r>
    </w:p>
    <w:p w:rsidR="00EA3845" w:rsidRDefault="00EA3845" w:rsidP="00EA3845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季度投资管理报告</w:t>
      </w:r>
    </w:p>
    <w:p w:rsidR="00EA3845" w:rsidRDefault="00EA3845" w:rsidP="00EA3845">
      <w:pPr>
        <w:spacing w:line="480" w:lineRule="exact"/>
        <w:ind w:firstLineChars="1350" w:firstLine="283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报告日：2017年9月30日</w:t>
      </w:r>
    </w:p>
    <w:p w:rsidR="00EA3845" w:rsidRDefault="00EA3845" w:rsidP="00EA3845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“乾元—量化精选”开放式净值型理财产品于2016年6月14日正式成立，投资运作正常。截至报告日，目前本产品总资产规模为43,987,300.0924份。</w:t>
      </w:r>
    </w:p>
    <w:p w:rsidR="00EA3845" w:rsidRDefault="00EA3845" w:rsidP="00EA3845">
      <w:pPr>
        <w:ind w:firstLineChars="200" w:firstLine="56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A3845" w:rsidRDefault="00EA3845" w:rsidP="00EA384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截至2017年9月30日，产品单位净值为1.008873。</w:t>
      </w:r>
    </w:p>
    <w:p w:rsidR="00EA3845" w:rsidRDefault="00EA3845" w:rsidP="00EA384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A3845" w:rsidRDefault="00EA3845" w:rsidP="00EA3845">
      <w:pPr>
        <w:ind w:firstLineChars="196" w:firstLine="551"/>
        <w:jc w:val="left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A3845" w:rsidRDefault="00EA3845" w:rsidP="00EA3845">
      <w:pPr>
        <w:ind w:firstLineChars="147" w:firstLine="412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（一）投资组合的基本情况</w:t>
      </w:r>
    </w:p>
    <w:p w:rsidR="00EA3845" w:rsidRDefault="00EA3845" w:rsidP="00EA384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截至2017年9月30日，本产品的资金实际全部投资于现金和资管计划。</w:t>
      </w:r>
    </w:p>
    <w:p w:rsidR="00EA3845" w:rsidRDefault="00EA3845" w:rsidP="00EA3845">
      <w:pPr>
        <w:ind w:firstLineChars="147" w:firstLine="412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（二）投资组合的基本结构</w:t>
      </w:r>
    </w:p>
    <w:p w:rsidR="00EA3845" w:rsidRDefault="00EA3845" w:rsidP="00EA3845">
      <w:pPr>
        <w:jc w:val="center"/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4091697" cy="2178709"/>
            <wp:effectExtent l="6091" t="6084" r="7487" b="5957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A3845" w:rsidRDefault="00EA3845" w:rsidP="00EA3845">
      <w:pPr>
        <w:ind w:firstLineChars="150" w:firstLine="42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（三）资管计划的持仓情况</w:t>
      </w:r>
    </w:p>
    <w:p w:rsidR="00EA3845" w:rsidRDefault="00EA3845" w:rsidP="00EA384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757913" cy="2740545"/>
            <wp:effectExtent l="6102" t="6090" r="8010" b="6090"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A3845" w:rsidRDefault="00EA3845" w:rsidP="00EA384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EA3845" w:rsidRDefault="00EA3845" w:rsidP="00EA384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A3845" w:rsidRDefault="00EA3845" w:rsidP="00EA384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A3845" w:rsidRDefault="00EA3845" w:rsidP="00EA3845">
      <w:pPr>
        <w:spacing w:line="480" w:lineRule="exact"/>
        <w:ind w:firstLineChars="15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    </w:t>
      </w:r>
    </w:p>
    <w:p w:rsidR="00EA3845" w:rsidRDefault="00EA3845" w:rsidP="00EA3845">
      <w:pPr>
        <w:spacing w:line="480" w:lineRule="exact"/>
        <w:ind w:firstLineChars="2250" w:firstLine="63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EA3845" w:rsidRDefault="00EA3845" w:rsidP="00EA3845">
      <w:pPr>
        <w:spacing w:line="480" w:lineRule="exact"/>
        <w:ind w:right="-58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EA3845" w:rsidRDefault="00EA3845" w:rsidP="00EA3845">
      <w:pPr>
        <w:rPr>
          <w:rFonts w:hint="eastAsia"/>
        </w:rPr>
      </w:pPr>
    </w:p>
    <w:p w:rsidR="00B42488" w:rsidRDefault="00B42488">
      <w:pPr>
        <w:rPr>
          <w:rFonts w:hint="eastAsia"/>
        </w:rPr>
      </w:pPr>
    </w:p>
    <w:sectPr w:rsidR="00B42488" w:rsidSect="00B4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A3845"/>
    <w:rsid w:val="00B42488"/>
    <w:rsid w:val="00EA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8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38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37327;&#21270;&#23395;&#24230;&#25259;&#38706;\2017.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zhaojianfeng\AppData\Local\Temp\notesC4A9C8\&#20094;&#20803;&#20135;&#21697;20170930&#36164;&#20135;&#25345;&#20179;&#20998;&#24067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625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'17年9月'!$A$57:$A$58</c:f>
              <c:strCache>
                <c:ptCount val="2"/>
                <c:pt idx="0">
                  <c:v>现金类</c:v>
                </c:pt>
                <c:pt idx="1">
                  <c:v>资管计划</c:v>
                </c:pt>
              </c:strCache>
            </c:strRef>
          </c:cat>
          <c:val>
            <c:numRef>
              <c:f>'17年9月'!$B$57:$B$58</c:f>
              <c:numCache>
                <c:formatCode>0.00%</c:formatCode>
                <c:ptCount val="2"/>
                <c:pt idx="0">
                  <c:v>2.5044842240536071E-2</c:v>
                </c:pt>
                <c:pt idx="1">
                  <c:v>0.97495515775946395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rotX val="30"/>
      <c:hPercent val="70"/>
      <c:depthPercent val="20"/>
      <c:rAngAx val="1"/>
    </c:view3D>
    <c:plotArea>
      <c:layout>
        <c:manualLayout>
          <c:layoutTarget val="inner"/>
          <c:xMode val="edge"/>
          <c:yMode val="edge"/>
          <c:x val="4.3926290463692036E-2"/>
          <c:y val="0.10879629629629635"/>
          <c:w val="0.5835996997049423"/>
          <c:h val="0.86342592592592571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dPt>
            <c:idx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1"/>
            <c:spPr>
              <a:solidFill>
                <a:srgbClr val="990000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2"/>
            <c:spPr>
              <a:solidFill>
                <a:srgbClr val="FFFFCC"/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Pt>
            <c:idx val="3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tx1">
                    <a:lumMod val="50000"/>
                    <a:lumOff val="5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18916510185725796"/>
                  <c:y val="-6.4969743365412669E-2"/>
                </c:manualLayout>
              </c:layout>
              <c:showVal val="1"/>
            </c:dLbl>
            <c:dLbl>
              <c:idx val="1"/>
              <c:layout>
                <c:manualLayout>
                  <c:x val="7.0066852865836707E-2"/>
                  <c:y val="-0.165844998541849"/>
                </c:manualLayout>
              </c:layout>
              <c:showVal val="1"/>
            </c:dLbl>
            <c:dLbl>
              <c:idx val="2"/>
              <c:layout>
                <c:manualLayout>
                  <c:x val="9.8864395457581897E-2"/>
                  <c:y val="-9.7039588801399831E-2"/>
                </c:manualLayout>
              </c:layout>
              <c:showVal val="1"/>
            </c:dLbl>
            <c:dLbl>
              <c:idx val="3"/>
              <c:layout>
                <c:manualLayout>
                  <c:x val="0.10463825288372022"/>
                  <c:y val="9.5912438028579752E-2"/>
                </c:manualLayout>
              </c:layout>
              <c:showVal val="1"/>
            </c:dLbl>
            <c:showVal val="1"/>
            <c:showLeaderLines val="1"/>
          </c:dLbls>
          <c:cat>
            <c:strRef>
              <c:f>Sheet1!$B$17:$B$20</c:f>
              <c:strCache>
                <c:ptCount val="4"/>
                <c:pt idx="0">
                  <c:v>股票资产</c:v>
                </c:pt>
                <c:pt idx="1">
                  <c:v>期货资产</c:v>
                </c:pt>
                <c:pt idx="2">
                  <c:v>货币基金及逆回购资产</c:v>
                </c:pt>
                <c:pt idx="3">
                  <c:v>现金及其他</c:v>
                </c:pt>
              </c:strCache>
            </c:strRef>
          </c:cat>
          <c:val>
            <c:numRef>
              <c:f>Sheet1!$C$17:$C$20</c:f>
              <c:numCache>
                <c:formatCode>0.00%</c:formatCode>
                <c:ptCount val="4"/>
                <c:pt idx="0">
                  <c:v>0.53437625134157163</c:v>
                </c:pt>
                <c:pt idx="1">
                  <c:v>6.3916980515585975E-2</c:v>
                </c:pt>
                <c:pt idx="2">
                  <c:v>0.23700607386130762</c:v>
                </c:pt>
                <c:pt idx="3">
                  <c:v>0.16470069428153489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9250437930291942"/>
          <c:y val="0.25849154272382613"/>
          <c:w val="0.24717913385826779"/>
          <c:h val="0.49690580344123658"/>
        </c:manualLayout>
      </c:layout>
      <c:spPr>
        <a:ln>
          <a:solidFill>
            <a:schemeClr val="bg1">
              <a:lumMod val="75000"/>
            </a:schemeClr>
          </a:solidFill>
        </a:ln>
      </c:sp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2017-10-13T02:13:00Z</dcterms:created>
  <dcterms:modified xsi:type="dcterms:W3CDTF">2017-10-13T02:14:00Z</dcterms:modified>
</cp:coreProperties>
</file>