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E0" w:rsidRPr="00DE2106" w:rsidRDefault="00555CE0" w:rsidP="00555CE0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555CE0" w:rsidRPr="00DE2106" w:rsidRDefault="00555CE0" w:rsidP="00555CE0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555CE0" w:rsidRPr="00DE2106" w:rsidRDefault="00555CE0" w:rsidP="00555CE0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“乾元-鑫满溢足”净值型人民币理财产品于2014年6月11日正式成立，投资运作正常。截至报告日，目前本产品总资产规模为</w:t>
      </w:r>
      <w:r w:rsidRPr="00E3790B"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1,170,882,991.69</w:t>
      </w:r>
      <w:r w:rsidRPr="0042219D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55CE0" w:rsidRPr="00DE2106" w:rsidRDefault="00555CE0" w:rsidP="00555CE0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555CE0" w:rsidRPr="00DE2106" w:rsidRDefault="00555CE0" w:rsidP="00555CE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截至2017年5月31日，产品单位净值为</w:t>
      </w:r>
      <w:r w:rsidRPr="005C3147">
        <w:rPr>
          <w:rFonts w:ascii="彩虹粗仿宋" w:eastAsia="彩虹粗仿宋" w:hAnsi="宋体"/>
          <w:color w:val="000000"/>
          <w:sz w:val="28"/>
          <w:szCs w:val="28"/>
        </w:rPr>
        <w:t>1.</w:t>
      </w:r>
      <w:r w:rsidRPr="00E3790B">
        <w:rPr>
          <w:rFonts w:ascii="彩虹粗仿宋" w:eastAsia="彩虹粗仿宋" w:hAnsi="宋体"/>
          <w:color w:val="000000"/>
          <w:sz w:val="28"/>
          <w:szCs w:val="28"/>
        </w:rPr>
        <w:t>097675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55CE0" w:rsidRPr="00DE2106" w:rsidRDefault="00555CE0" w:rsidP="00555CE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55CE0" w:rsidRPr="00DE2106" w:rsidRDefault="00555CE0" w:rsidP="00555CE0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555CE0" w:rsidRPr="00DE2106" w:rsidRDefault="00555CE0" w:rsidP="00555CE0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555CE0" w:rsidRPr="0000530E" w:rsidRDefault="00555CE0" w:rsidP="00555CE0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截至2017年5月31日，本产品的资金实际全部投资于现金、债券、存单（含存款）和逆回购。</w:t>
      </w:r>
    </w:p>
    <w:p w:rsidR="00555CE0" w:rsidRPr="00DE2106" w:rsidRDefault="00555CE0" w:rsidP="00555CE0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555CE0" w:rsidRPr="009D2FE7" w:rsidRDefault="00555CE0" w:rsidP="00555CE0">
      <w:pPr>
        <w:jc w:val="center"/>
        <w:rPr>
          <w:rFonts w:ascii="彩虹粗仿宋" w:eastAsia="彩虹粗仿宋" w:hint="eastAsia"/>
        </w:rPr>
      </w:pPr>
      <w:r>
        <w:rPr>
          <w:noProof/>
        </w:rPr>
        <w:drawing>
          <wp:inline distT="0" distB="0" distL="0" distR="0">
            <wp:extent cx="4232535" cy="2364484"/>
            <wp:effectExtent l="0" t="0" r="6090" b="7241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55CE0" w:rsidRPr="00DE2106" w:rsidRDefault="00555CE0" w:rsidP="00555CE0">
      <w:pPr>
        <w:jc w:val="center"/>
        <w:rPr>
          <w:rFonts w:ascii="彩虹粗仿宋" w:eastAsia="彩虹粗仿宋" w:hint="eastAsia"/>
        </w:rPr>
      </w:pPr>
    </w:p>
    <w:p w:rsidR="00555CE0" w:rsidRPr="00DE2106" w:rsidRDefault="00555CE0" w:rsidP="00555CE0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555CE0" w:rsidRPr="00A6754D" w:rsidRDefault="00555CE0" w:rsidP="00555CE0">
      <w:pPr>
        <w:jc w:val="center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555CE0" w:rsidRPr="00DE2106" w:rsidRDefault="00555CE0" w:rsidP="00555CE0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32535" cy="2364484"/>
            <wp:effectExtent l="0" t="0" r="6090" b="7241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5CE0" w:rsidRPr="00DE2106" w:rsidRDefault="00555CE0" w:rsidP="00555CE0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555CE0" w:rsidRPr="00DE2106" w:rsidRDefault="00555CE0" w:rsidP="00555CE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55CE0" w:rsidRPr="00DE2106" w:rsidRDefault="00555CE0" w:rsidP="00555CE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55CE0" w:rsidRPr="00DE2106" w:rsidRDefault="00555CE0" w:rsidP="00555CE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55CE0" w:rsidRPr="00DE2106" w:rsidRDefault="00555CE0" w:rsidP="00555CE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555CE0" w:rsidRPr="00DE2106" w:rsidRDefault="00555CE0" w:rsidP="00555CE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555CE0" w:rsidRPr="00DE2106" w:rsidRDefault="00555CE0" w:rsidP="00555CE0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54794A" w:rsidRDefault="0054794A"/>
    <w:sectPr w:rsidR="0054794A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94A" w:rsidRDefault="0054794A" w:rsidP="00555CE0">
      <w:r>
        <w:separator/>
      </w:r>
    </w:p>
  </w:endnote>
  <w:endnote w:type="continuationSeparator" w:id="1">
    <w:p w:rsidR="0054794A" w:rsidRDefault="0054794A" w:rsidP="00555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94A" w:rsidRDefault="0054794A" w:rsidP="00555CE0">
      <w:r>
        <w:separator/>
      </w:r>
    </w:p>
  </w:footnote>
  <w:footnote w:type="continuationSeparator" w:id="1">
    <w:p w:rsidR="0054794A" w:rsidRDefault="0054794A" w:rsidP="00555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CE0"/>
    <w:rsid w:val="0054794A"/>
    <w:rsid w:val="0055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5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5C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5C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5C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C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6E-2"/>
          <c:y val="0.29457259019093446"/>
          <c:w val="0.58343638397658726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0.30248339588335077</c:v>
                </c:pt>
                <c:pt idx="1">
                  <c:v>0.1435702680889068</c:v>
                </c:pt>
                <c:pt idx="2">
                  <c:v>0.30454568312536751</c:v>
                </c:pt>
                <c:pt idx="3">
                  <c:v>0.24940065290237531</c:v>
                </c:pt>
                <c:pt idx="4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74"/>
          <c:w val="0.25693078426048682"/>
          <c:h val="0.5627127958037492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74E-2"/>
          <c:y val="0.29457259019093446"/>
          <c:w val="0.58343638397658737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0.50981747454233051</c:v>
                </c:pt>
                <c:pt idx="1">
                  <c:v>0.39024933181781041</c:v>
                </c:pt>
                <c:pt idx="2">
                  <c:v>9.9933193639859141E-2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79"/>
          <c:y val="0.19464321593161046"/>
          <c:w val="0.14601956230291363"/>
          <c:h val="0.5627127958037492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2017-06-07T00:56:00Z</dcterms:created>
  <dcterms:modified xsi:type="dcterms:W3CDTF">2017-06-07T00:56:00Z</dcterms:modified>
</cp:coreProperties>
</file>