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D5" w:rsidRDefault="003353D5" w:rsidP="003353D5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b/>
          <w:color w:val="000000"/>
          <w:sz w:val="32"/>
          <w:szCs w:val="32"/>
        </w:rPr>
        <w:t xml:space="preserve"> 120</w:t>
      </w:r>
      <w:r>
        <w:rPr>
          <w:rFonts w:hint="eastAsia"/>
          <w:b/>
          <w:color w:val="000000"/>
          <w:sz w:val="32"/>
          <w:szCs w:val="32"/>
        </w:rPr>
        <w:t>天开放式资产组合型人民币理财产品（机构版）月度投资管理报告</w:t>
      </w:r>
    </w:p>
    <w:p w:rsidR="003353D5" w:rsidRDefault="003353D5" w:rsidP="003353D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报告日：2017年4月30日    </w:t>
      </w:r>
    </w:p>
    <w:p w:rsidR="003353D5" w:rsidRDefault="003353D5" w:rsidP="003353D5">
      <w:pPr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120天开放式资产组合型人民币理财产品（机构版）于2016年5月12日正式成立。截至报告日，本产品规模为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          </w:t>
      </w:r>
      <w:r>
        <w:rPr>
          <w:rFonts w:ascii="宋体" w:hAnsi="宋体" w:cs="宋体" w:hint="eastAsia"/>
          <w:bCs/>
          <w:kern w:val="0"/>
          <w:sz w:val="28"/>
          <w:szCs w:val="28"/>
        </w:rPr>
        <w:t>11,921,995,300.00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3353D5" w:rsidRDefault="003353D5" w:rsidP="003353D5">
      <w:pPr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353D5" w:rsidRDefault="003353D5" w:rsidP="003353D5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根据产品说明书的约定， 2017年4月1日至2017年4月30日投资者实际收益率为3.90%。</w:t>
      </w:r>
    </w:p>
    <w:p w:rsidR="003353D5" w:rsidRDefault="003353D5" w:rsidP="003353D5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3353D5" w:rsidRDefault="003353D5" w:rsidP="003353D5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3353D5" w:rsidRDefault="003353D5" w:rsidP="003353D5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3353D5" w:rsidRDefault="003353D5" w:rsidP="003353D5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77490" cy="300228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353D5" w:rsidRDefault="003353D5" w:rsidP="003353D5">
      <w:pPr>
        <w:spacing w:line="480" w:lineRule="exact"/>
        <w:ind w:firstLineChars="146" w:firstLine="410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3353D5" w:rsidRDefault="003353D5" w:rsidP="003353D5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80130" cy="2398395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353D5" w:rsidRDefault="003353D5" w:rsidP="003353D5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（三）融资类资产的行业占比构成及当月增减变化情况</w:t>
      </w:r>
    </w:p>
    <w:p w:rsidR="003353D5" w:rsidRDefault="003353D5" w:rsidP="003353D5">
      <w:pPr>
        <w:ind w:right="1400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9390" cy="517525"/>
            <wp:effectExtent l="0" t="0" r="0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53D5" w:rsidRDefault="003353D5" w:rsidP="003353D5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三、投资非标准化债权资产清单（见附录一）</w:t>
      </w:r>
    </w:p>
    <w:p w:rsidR="003353D5" w:rsidRDefault="003353D5" w:rsidP="003353D5">
      <w:pPr>
        <w:spacing w:line="480" w:lineRule="exact"/>
        <w:ind w:firstLineChars="200" w:firstLine="562"/>
        <w:outlineLvl w:val="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四、产品整体运作情况</w:t>
      </w:r>
    </w:p>
    <w:p w:rsidR="003353D5" w:rsidRDefault="003353D5" w:rsidP="003353D5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353D5" w:rsidRDefault="003353D5" w:rsidP="003353D5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3353D5" w:rsidRDefault="003353D5" w:rsidP="003353D5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3353D5" w:rsidRDefault="003353D5" w:rsidP="003353D5">
      <w:pPr>
        <w:spacing w:line="480" w:lineRule="exact"/>
        <w:ind w:right="362" w:firstLineChars="2050" w:firstLine="574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3353D5" w:rsidRDefault="003353D5" w:rsidP="003353D5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2017年5月8日</w:t>
      </w: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p w:rsidR="003353D5" w:rsidRDefault="003353D5" w:rsidP="003353D5">
      <w:pPr>
        <w:spacing w:line="480" w:lineRule="exact"/>
        <w:ind w:right="782"/>
        <w:rPr>
          <w:rFonts w:ascii="宋体" w:hAnsi="宋体" w:hint="eastAsia"/>
          <w:color w:val="000000"/>
          <w:sz w:val="28"/>
          <w:szCs w:val="28"/>
        </w:rPr>
      </w:pPr>
    </w:p>
    <w:sectPr w:rsidR="0033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985" w:rsidRDefault="00680985" w:rsidP="003353D5">
      <w:r>
        <w:separator/>
      </w:r>
    </w:p>
  </w:endnote>
  <w:endnote w:type="continuationSeparator" w:id="1">
    <w:p w:rsidR="00680985" w:rsidRDefault="00680985" w:rsidP="0033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985" w:rsidRDefault="00680985" w:rsidP="003353D5">
      <w:r>
        <w:separator/>
      </w:r>
    </w:p>
  </w:footnote>
  <w:footnote w:type="continuationSeparator" w:id="1">
    <w:p w:rsidR="00680985" w:rsidRDefault="00680985" w:rsidP="00335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3D5"/>
    <w:rsid w:val="003353D5"/>
    <w:rsid w:val="0068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3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3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53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53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8"/>
          <c:y val="7.1023255517772763E-2"/>
          <c:w val="0.79123261156213054"/>
          <c:h val="0.68958597928388365"/>
        </c:manualLayout>
      </c:layout>
      <c:pie3DChart>
        <c:varyColors val="1"/>
        <c:ser>
          <c:idx val="0"/>
          <c:order val="0"/>
          <c:tx>
            <c:strRef>
              <c:f>'17年4月'!$B$165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'17年4月'!$A$166:$A$168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'17年4月'!$B$166:$B$168</c:f>
              <c:numCache>
                <c:formatCode>0.00%</c:formatCode>
                <c:ptCount val="3"/>
                <c:pt idx="0">
                  <c:v>0.19333830959515391</c:v>
                </c:pt>
                <c:pt idx="1">
                  <c:v>0.79421618477623235</c:v>
                </c:pt>
                <c:pt idx="2">
                  <c:v>1.2445505628470237E-2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382E-2"/>
          <c:y val="0.10879629629629795"/>
          <c:w val="0.64954811898512765"/>
          <c:h val="0.77314814814815613"/>
        </c:manualLayout>
      </c:layout>
      <c:pie3DChart>
        <c:varyColors val="1"/>
        <c:ser>
          <c:idx val="0"/>
          <c:order val="0"/>
          <c:tx>
            <c:strRef>
              <c:f>'17年4月'!$B$174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'17年4月'!$A$178:$A$179</c:f>
              <c:strCache>
                <c:ptCount val="2"/>
                <c:pt idx="0">
                  <c:v>AA-及以下</c:v>
                </c:pt>
                <c:pt idx="1">
                  <c:v>未评级</c:v>
                </c:pt>
              </c:strCache>
            </c:strRef>
          </c:cat>
          <c:val>
            <c:numRef>
              <c:f>'17年4月'!$B$178:$B$179</c:f>
              <c:numCache>
                <c:formatCode>0.00%</c:formatCode>
                <c:ptCount val="2"/>
                <c:pt idx="0">
                  <c:v>3.1340347545238352E-2</c:v>
                </c:pt>
                <c:pt idx="1">
                  <c:v>0.96865965245476338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111375421994617"/>
          <c:y val="4.6969997100919973E-2"/>
          <c:w val="0.61547466302337195"/>
          <c:h val="0.80292652328085068"/>
        </c:manualLayout>
      </c:layout>
      <c:barChart>
        <c:barDir val="bar"/>
        <c:grouping val="clustered"/>
        <c:ser>
          <c:idx val="0"/>
          <c:order val="0"/>
          <c:tx>
            <c:strRef>
              <c:f>'17年4月'!$B$182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'17年4月'!$A$183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'17年4月'!$B$183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'17年4月'!$C$182</c:f>
              <c:strCache>
                <c:ptCount val="1"/>
                <c:pt idx="0">
                  <c:v>3月各行业</c:v>
                </c:pt>
              </c:strCache>
            </c:strRef>
          </c:tx>
          <c:cat>
            <c:strRef>
              <c:f>'17年4月'!$A$183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'17年4月'!$C$183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'17年4月'!$D$182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'17年4月'!$A$183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'17年4月'!$D$183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axId val="117357568"/>
        <c:axId val="126903040"/>
      </c:barChart>
      <c:catAx>
        <c:axId val="11735756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26903040"/>
        <c:crossesAt val="0"/>
        <c:auto val="1"/>
        <c:lblAlgn val="ctr"/>
        <c:lblOffset val="100"/>
      </c:catAx>
      <c:valAx>
        <c:axId val="126903040"/>
        <c:scaling>
          <c:orientation val="minMax"/>
          <c:max val="0.60000000000000064"/>
        </c:scaling>
        <c:axPos val="b"/>
        <c:majorGridlines/>
        <c:numFmt formatCode="0.00%" sourceLinked="1"/>
        <c:tickLblPos val="nextTo"/>
        <c:crossAx val="117357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094840898263113"/>
          <c:y val="0.53234898733380664"/>
          <c:w val="0.10089980103026347"/>
          <c:h val="0.16787298315335308"/>
        </c:manualLayout>
      </c:layout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2017-05-08T06:37:00Z</dcterms:created>
  <dcterms:modified xsi:type="dcterms:W3CDTF">2017-05-08T06:37:00Z</dcterms:modified>
</cp:coreProperties>
</file>