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4B" w:rsidRPr="00EE774A" w:rsidRDefault="00281C4B" w:rsidP="00281C4B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281C4B" w:rsidRPr="00EE774A" w:rsidRDefault="00281C4B" w:rsidP="00281C4B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4</w:t>
      </w:r>
      <w:r w:rsidRPr="00EE774A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30</w:t>
      </w:r>
      <w:r w:rsidRPr="00EE774A">
        <w:rPr>
          <w:rFonts w:ascii="宋体" w:hAnsi="宋体" w:hint="eastAsia"/>
          <w:color w:val="000000"/>
          <w:szCs w:val="21"/>
        </w:rPr>
        <w:t>日</w:t>
      </w:r>
    </w:p>
    <w:p w:rsidR="00281C4B" w:rsidRPr="0035334D" w:rsidRDefault="00281C4B" w:rsidP="00281C4B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EE774A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EE774A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Pr="00EE774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Pr="00000D4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D1270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440482"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 w:rsidRPr="005E4CAF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D91744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B77DE8">
        <w:rPr>
          <w:rFonts w:ascii="宋体" w:hAnsi="宋体"/>
          <w:sz w:val="28"/>
          <w:szCs w:val="28"/>
        </w:rPr>
        <w:t>182,922,060,710.79</w:t>
      </w:r>
      <w:r w:rsidRPr="00EE774A">
        <w:rPr>
          <w:rFonts w:ascii="宋体" w:hAnsi="宋体" w:hint="eastAsia"/>
          <w:color w:val="000000"/>
          <w:sz w:val="28"/>
          <w:szCs w:val="28"/>
        </w:rPr>
        <w:t>元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281C4B" w:rsidRPr="00EE774A" w:rsidRDefault="00281C4B" w:rsidP="00281C4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281C4B" w:rsidRPr="009C7E87" w:rsidRDefault="00281C4B" w:rsidP="00281C4B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9527" w:type="dxa"/>
        <w:jc w:val="center"/>
        <w:tblInd w:w="-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9"/>
        <w:gridCol w:w="1276"/>
        <w:gridCol w:w="1275"/>
        <w:gridCol w:w="1276"/>
        <w:gridCol w:w="1134"/>
        <w:gridCol w:w="1276"/>
        <w:gridCol w:w="1261"/>
      </w:tblGrid>
      <w:tr w:rsidR="00281C4B" w:rsidRPr="009C7E87" w:rsidTr="003D23C3">
        <w:trPr>
          <w:trHeight w:val="473"/>
          <w:jc w:val="center"/>
        </w:trPr>
        <w:tc>
          <w:tcPr>
            <w:tcW w:w="2029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276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1≤T&lt;30</w:t>
            </w:r>
          </w:p>
        </w:tc>
        <w:tc>
          <w:tcPr>
            <w:tcW w:w="1275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30≤T&lt;60</w:t>
            </w:r>
          </w:p>
        </w:tc>
        <w:tc>
          <w:tcPr>
            <w:tcW w:w="1276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60≤T&lt;90</w:t>
            </w:r>
          </w:p>
        </w:tc>
        <w:tc>
          <w:tcPr>
            <w:tcW w:w="1134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90≤T&lt;180</w:t>
            </w:r>
          </w:p>
        </w:tc>
        <w:tc>
          <w:tcPr>
            <w:tcW w:w="1276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180≤T&lt;365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4B" w:rsidRPr="009C7E87" w:rsidRDefault="00281C4B" w:rsidP="003D23C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T≥365</w:t>
            </w:r>
          </w:p>
        </w:tc>
      </w:tr>
      <w:tr w:rsidR="00281C4B" w:rsidRPr="009C7E87" w:rsidTr="003D23C3">
        <w:trPr>
          <w:trHeight w:val="778"/>
          <w:jc w:val="center"/>
        </w:trPr>
        <w:tc>
          <w:tcPr>
            <w:tcW w:w="2029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276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/>
                <w:color w:val="000000"/>
                <w:szCs w:val="21"/>
              </w:rPr>
              <w:t>2.10%</w:t>
            </w:r>
          </w:p>
        </w:tc>
        <w:tc>
          <w:tcPr>
            <w:tcW w:w="1275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/>
                <w:color w:val="000000"/>
                <w:szCs w:val="21"/>
              </w:rPr>
              <w:t>2.45%</w:t>
            </w:r>
          </w:p>
        </w:tc>
        <w:tc>
          <w:tcPr>
            <w:tcW w:w="1276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3.00%</w:t>
            </w:r>
          </w:p>
        </w:tc>
        <w:tc>
          <w:tcPr>
            <w:tcW w:w="1134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3.20%</w:t>
            </w:r>
          </w:p>
        </w:tc>
        <w:tc>
          <w:tcPr>
            <w:tcW w:w="1276" w:type="dxa"/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3.45%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4B" w:rsidRPr="009C7E87" w:rsidRDefault="00281C4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cs="宋体" w:hint="eastAsia"/>
                <w:color w:val="000000"/>
                <w:kern w:val="0"/>
                <w:szCs w:val="21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9C7E87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:rsidR="00281C4B" w:rsidRPr="009C7E87" w:rsidRDefault="00281C4B" w:rsidP="00281C4B">
      <w:pPr>
        <w:spacing w:line="480" w:lineRule="exact"/>
        <w:rPr>
          <w:rFonts w:ascii="宋体" w:hAnsi="宋体" w:hint="eastAsia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281C4B" w:rsidRPr="00EE774A" w:rsidRDefault="00281C4B" w:rsidP="00281C4B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281C4B" w:rsidRPr="00EE774A" w:rsidRDefault="00281C4B" w:rsidP="00281C4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281C4B" w:rsidRPr="00EE774A" w:rsidRDefault="00281C4B" w:rsidP="00281C4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281C4B" w:rsidRPr="00F7161F" w:rsidRDefault="00281C4B" w:rsidP="00281C4B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92330" cy="2564257"/>
            <wp:effectExtent l="6092" t="6096" r="7488" b="9017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1C4B" w:rsidRPr="00EE774A" w:rsidRDefault="00281C4B" w:rsidP="00281C4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281C4B" w:rsidRPr="0002419E" w:rsidRDefault="00281C4B" w:rsidP="00281C4B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4569343" cy="2254751"/>
            <wp:effectExtent l="6091" t="6099" r="5456" b="8005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1C4B" w:rsidRDefault="00281C4B" w:rsidP="00281C4B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EE774A">
        <w:rPr>
          <w:rFonts w:ascii="宋体" w:hAnsi="宋体"/>
          <w:b/>
          <w:color w:val="000000"/>
          <w:sz w:val="28"/>
          <w:szCs w:val="28"/>
        </w:rPr>
        <w:t>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281C4B" w:rsidRPr="00C82729" w:rsidRDefault="00281C4B" w:rsidP="00281C4B">
      <w:pPr>
        <w:ind w:right="560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58814" cy="3583529"/>
            <wp:effectExtent l="5843" t="5839" r="5843" b="7907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1C4B" w:rsidRPr="00EE774A" w:rsidRDefault="00281C4B" w:rsidP="00281C4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281C4B" w:rsidRPr="00EE774A" w:rsidRDefault="00281C4B" w:rsidP="00281C4B">
      <w:pPr>
        <w:jc w:val="center"/>
        <w:rPr>
          <w:rFonts w:hint="eastAsia"/>
          <w:color w:val="000000"/>
        </w:rPr>
      </w:pP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ab/>
      </w:r>
      <w:r>
        <w:rPr>
          <w:noProof/>
        </w:rPr>
        <w:drawing>
          <wp:inline distT="0" distB="0" distL="0" distR="0">
            <wp:extent cx="5044818" cy="2342123"/>
            <wp:effectExtent l="6098" t="6101" r="4319" b="6991"/>
            <wp:docPr id="4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1C4B" w:rsidRPr="00EE774A" w:rsidRDefault="00281C4B" w:rsidP="00281C4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281C4B" w:rsidRPr="00EE774A" w:rsidRDefault="00281C4B" w:rsidP="00281C4B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81C4B" w:rsidRPr="00EE774A" w:rsidRDefault="00281C4B" w:rsidP="00281C4B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281C4B" w:rsidRPr="00EE774A" w:rsidRDefault="00281C4B" w:rsidP="00281C4B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281C4B" w:rsidRPr="00EE774A" w:rsidRDefault="00281C4B" w:rsidP="00281C4B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      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</w:t>
      </w: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281C4B" w:rsidRDefault="00281C4B" w:rsidP="00281C4B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2017年5月8日</w:t>
      </w:r>
    </w:p>
    <w:p w:rsidR="003C0A38" w:rsidRDefault="00281C4B" w:rsidP="00281C4B">
      <w:r>
        <w:rPr>
          <w:rFonts w:ascii="彩虹粗仿宋" w:eastAsia="彩虹粗仿宋"/>
          <w:b/>
          <w:color w:val="000000"/>
          <w:sz w:val="32"/>
          <w:szCs w:val="32"/>
        </w:rPr>
        <w:br w:type="page"/>
      </w:r>
    </w:p>
    <w:sectPr w:rsidR="003C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A38" w:rsidRDefault="003C0A38" w:rsidP="00281C4B">
      <w:r>
        <w:separator/>
      </w:r>
    </w:p>
  </w:endnote>
  <w:endnote w:type="continuationSeparator" w:id="1">
    <w:p w:rsidR="003C0A38" w:rsidRDefault="003C0A38" w:rsidP="00281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A38" w:rsidRDefault="003C0A38" w:rsidP="00281C4B">
      <w:r>
        <w:separator/>
      </w:r>
    </w:p>
  </w:footnote>
  <w:footnote w:type="continuationSeparator" w:id="1">
    <w:p w:rsidR="003C0A38" w:rsidRDefault="003C0A38" w:rsidP="00281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C4B"/>
    <w:rsid w:val="00281C4B"/>
    <w:rsid w:val="003C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C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1C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1C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625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'17年4月'!$A$57:$A$59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'17年4月'!$B$57:$B$59</c:f>
              <c:numCache>
                <c:formatCode>0.00%</c:formatCode>
                <c:ptCount val="3"/>
                <c:pt idx="0">
                  <c:v>0.29219832143089386</c:v>
                </c:pt>
                <c:pt idx="1">
                  <c:v>0.12641010544012524</c:v>
                </c:pt>
                <c:pt idx="2">
                  <c:v>0.58139157312908418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7414499323949023E-2"/>
          <c:y val="0.12749954992088083"/>
          <c:w val="0.62449790998347465"/>
          <c:h val="0.7655478512947137"/>
        </c:manualLayout>
      </c:layout>
      <c:pie3DChart>
        <c:varyColors val="1"/>
        <c:ser>
          <c:idx val="0"/>
          <c:order val="0"/>
          <c:tx>
            <c:strRef>
              <c:f>'17年4月'!$B$63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'17年4月'!$A$64:$A$68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'17年4月'!$B$64:$B$68</c:f>
              <c:numCache>
                <c:formatCode>0.00%</c:formatCode>
                <c:ptCount val="5"/>
                <c:pt idx="0">
                  <c:v>2.2740544845246336E-2</c:v>
                </c:pt>
                <c:pt idx="1">
                  <c:v>0.19884262145866952</c:v>
                </c:pt>
                <c:pt idx="2">
                  <c:v>0.21988069336742763</c:v>
                </c:pt>
                <c:pt idx="3">
                  <c:v>0.48326714320993258</c:v>
                </c:pt>
                <c:pt idx="4">
                  <c:v>7.5268997118724187E-2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852363117468665"/>
          <c:y val="0.11483088227231183"/>
          <c:w val="0.257759612109555"/>
          <c:h val="0.73149963492154424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'17年4月'!$B$72</c:f>
              <c:strCache>
                <c:ptCount val="1"/>
                <c:pt idx="0">
                  <c:v>4月各行业</c:v>
                </c:pt>
              </c:strCache>
            </c:strRef>
          </c:tx>
          <c:cat>
            <c:strRef>
              <c:f>'17年4月'!$A$73:$A$86</c:f>
              <c:strCache>
                <c:ptCount val="14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公共管理和社会组织</c:v>
                </c:pt>
                <c:pt idx="5">
                  <c:v>交通运输、仓储和邮政业</c:v>
                </c:pt>
                <c:pt idx="6">
                  <c:v>综合</c:v>
                </c:pt>
                <c:pt idx="7">
                  <c:v>农、林、牧、渔业</c:v>
                </c:pt>
                <c:pt idx="8">
                  <c:v>水利、环境和公共设施管理业</c:v>
                </c:pt>
                <c:pt idx="9">
                  <c:v>制造业</c:v>
                </c:pt>
                <c:pt idx="10">
                  <c:v>租赁和商务服务业</c:v>
                </c:pt>
                <c:pt idx="11">
                  <c:v>居民服务和其他服务业</c:v>
                </c:pt>
                <c:pt idx="12">
                  <c:v>建筑业</c:v>
                </c:pt>
                <c:pt idx="13">
                  <c:v>金融业</c:v>
                </c:pt>
              </c:strCache>
            </c:strRef>
          </c:cat>
          <c:val>
            <c:numRef>
              <c:f>'17年4月'!$B$73:$B$86</c:f>
              <c:numCache>
                <c:formatCode>0.00%</c:formatCode>
                <c:ptCount val="14"/>
                <c:pt idx="0">
                  <c:v>0.12614726479383148</c:v>
                </c:pt>
                <c:pt idx="1">
                  <c:v>1.8013119751969321E-2</c:v>
                </c:pt>
                <c:pt idx="2">
                  <c:v>6.0967482237434645E-2</c:v>
                </c:pt>
                <c:pt idx="3">
                  <c:v>1.22260993791647E-2</c:v>
                </c:pt>
                <c:pt idx="4">
                  <c:v>9.8583114660664634E-2</c:v>
                </c:pt>
                <c:pt idx="5">
                  <c:v>4.8089324224714472E-2</c:v>
                </c:pt>
                <c:pt idx="6">
                  <c:v>7.3764132920960332E-2</c:v>
                </c:pt>
                <c:pt idx="7">
                  <c:v>1.426378260902548E-2</c:v>
                </c:pt>
                <c:pt idx="8">
                  <c:v>0.20173063975621749</c:v>
                </c:pt>
                <c:pt idx="9">
                  <c:v>5.2170182573290397E-2</c:v>
                </c:pt>
                <c:pt idx="10">
                  <c:v>0.27199508686240365</c:v>
                </c:pt>
                <c:pt idx="11">
                  <c:v>1.3899037310880401E-2</c:v>
                </c:pt>
                <c:pt idx="12">
                  <c:v>0</c:v>
                </c:pt>
                <c:pt idx="13">
                  <c:v>8.150732919443137E-3</c:v>
                </c:pt>
              </c:numCache>
            </c:numRef>
          </c:val>
        </c:ser>
        <c:ser>
          <c:idx val="1"/>
          <c:order val="1"/>
          <c:tx>
            <c:strRef>
              <c:f>'17年4月'!$C$72</c:f>
              <c:strCache>
                <c:ptCount val="1"/>
                <c:pt idx="0">
                  <c:v>3月各行业</c:v>
                </c:pt>
              </c:strCache>
            </c:strRef>
          </c:tx>
          <c:cat>
            <c:strRef>
              <c:f>'17年4月'!$A$73:$A$86</c:f>
              <c:strCache>
                <c:ptCount val="14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公共管理和社会组织</c:v>
                </c:pt>
                <c:pt idx="5">
                  <c:v>交通运输、仓储和邮政业</c:v>
                </c:pt>
                <c:pt idx="6">
                  <c:v>综合</c:v>
                </c:pt>
                <c:pt idx="7">
                  <c:v>农、林、牧、渔业</c:v>
                </c:pt>
                <c:pt idx="8">
                  <c:v>水利、环境和公共设施管理业</c:v>
                </c:pt>
                <c:pt idx="9">
                  <c:v>制造业</c:v>
                </c:pt>
                <c:pt idx="10">
                  <c:v>租赁和商务服务业</c:v>
                </c:pt>
                <c:pt idx="11">
                  <c:v>居民服务和其他服务业</c:v>
                </c:pt>
                <c:pt idx="12">
                  <c:v>建筑业</c:v>
                </c:pt>
                <c:pt idx="13">
                  <c:v>金融业</c:v>
                </c:pt>
              </c:strCache>
            </c:strRef>
          </c:cat>
          <c:val>
            <c:numRef>
              <c:f>'17年4月'!$C$73:$C$86</c:f>
              <c:numCache>
                <c:formatCode>0.00%</c:formatCode>
                <c:ptCount val="14"/>
                <c:pt idx="0">
                  <c:v>0.14733273135672595</c:v>
                </c:pt>
                <c:pt idx="1">
                  <c:v>1.4631825701956381E-2</c:v>
                </c:pt>
                <c:pt idx="2">
                  <c:v>4.2920022059072062E-2</c:v>
                </c:pt>
                <c:pt idx="3">
                  <c:v>1.2336637356551458E-2</c:v>
                </c:pt>
                <c:pt idx="4">
                  <c:v>5.3076230487488843E-2</c:v>
                </c:pt>
                <c:pt idx="5">
                  <c:v>5.6777221694454282E-2</c:v>
                </c:pt>
                <c:pt idx="6">
                  <c:v>7.4593621225660014E-3</c:v>
                </c:pt>
                <c:pt idx="7">
                  <c:v>1.4488376430368577E-2</c:v>
                </c:pt>
                <c:pt idx="8">
                  <c:v>0.13409637908028266</c:v>
                </c:pt>
                <c:pt idx="9">
                  <c:v>3.9595865150213433E-2</c:v>
                </c:pt>
                <c:pt idx="10">
                  <c:v>0.31019850600027382</c:v>
                </c:pt>
                <c:pt idx="11">
                  <c:v>0</c:v>
                </c:pt>
                <c:pt idx="12">
                  <c:v>9.2493221334386616E-2</c:v>
                </c:pt>
                <c:pt idx="13">
                  <c:v>7.4593621225660003E-2</c:v>
                </c:pt>
              </c:numCache>
            </c:numRef>
          </c:val>
        </c:ser>
        <c:ser>
          <c:idx val="2"/>
          <c:order val="2"/>
          <c:tx>
            <c:strRef>
              <c:f>'17年4月'!$D$72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'17年4月'!$A$73:$A$86</c:f>
              <c:strCache>
                <c:ptCount val="14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公共管理和社会组织</c:v>
                </c:pt>
                <c:pt idx="5">
                  <c:v>交通运输、仓储和邮政业</c:v>
                </c:pt>
                <c:pt idx="6">
                  <c:v>综合</c:v>
                </c:pt>
                <c:pt idx="7">
                  <c:v>农、林、牧、渔业</c:v>
                </c:pt>
                <c:pt idx="8">
                  <c:v>水利、环境和公共设施管理业</c:v>
                </c:pt>
                <c:pt idx="9">
                  <c:v>制造业</c:v>
                </c:pt>
                <c:pt idx="10">
                  <c:v>租赁和商务服务业</c:v>
                </c:pt>
                <c:pt idx="11">
                  <c:v>居民服务和其他服务业</c:v>
                </c:pt>
                <c:pt idx="12">
                  <c:v>建筑业</c:v>
                </c:pt>
                <c:pt idx="13">
                  <c:v>金融业</c:v>
                </c:pt>
              </c:strCache>
            </c:strRef>
          </c:cat>
          <c:val>
            <c:numRef>
              <c:f>'17年4月'!$D$73:$D$86</c:f>
              <c:numCache>
                <c:formatCode>0.00%</c:formatCode>
                <c:ptCount val="14"/>
                <c:pt idx="0">
                  <c:v>-2.1185466562894394E-2</c:v>
                </c:pt>
                <c:pt idx="1">
                  <c:v>3.3812940500129391E-3</c:v>
                </c:pt>
                <c:pt idx="2">
                  <c:v>1.8047460178362569E-2</c:v>
                </c:pt>
                <c:pt idx="3">
                  <c:v>-1.1053797738676095E-4</c:v>
                </c:pt>
                <c:pt idx="4">
                  <c:v>4.5506884173175825E-2</c:v>
                </c:pt>
                <c:pt idx="5">
                  <c:v>-8.6878974697397957E-3</c:v>
                </c:pt>
                <c:pt idx="6">
                  <c:v>6.6304770798394336E-2</c:v>
                </c:pt>
                <c:pt idx="7">
                  <c:v>-2.2459382134309473E-4</c:v>
                </c:pt>
                <c:pt idx="8">
                  <c:v>6.7634260675934893E-2</c:v>
                </c:pt>
                <c:pt idx="9">
                  <c:v>1.2574317423076993E-2</c:v>
                </c:pt>
                <c:pt idx="10">
                  <c:v>-3.8203419137870294E-2</c:v>
                </c:pt>
                <c:pt idx="11">
                  <c:v>1.3899037310880401E-2</c:v>
                </c:pt>
                <c:pt idx="12">
                  <c:v>-9.2493221334386616E-2</c:v>
                </c:pt>
                <c:pt idx="13">
                  <c:v>-6.6442888306216849E-2</c:v>
                </c:pt>
              </c:numCache>
            </c:numRef>
          </c:val>
        </c:ser>
        <c:axId val="125064704"/>
        <c:axId val="125095936"/>
      </c:barChart>
      <c:catAx>
        <c:axId val="125064704"/>
        <c:scaling>
          <c:orientation val="minMax"/>
        </c:scaling>
        <c:axPos val="l"/>
        <c:numFmt formatCode="General" sourceLinked="0"/>
        <c:tickLblPos val="nextTo"/>
        <c:crossAx val="125095936"/>
        <c:crosses val="autoZero"/>
        <c:auto val="1"/>
        <c:lblAlgn val="ctr"/>
        <c:lblOffset val="100"/>
      </c:catAx>
      <c:valAx>
        <c:axId val="125095936"/>
        <c:scaling>
          <c:orientation val="minMax"/>
        </c:scaling>
        <c:axPos val="b"/>
        <c:majorGridlines/>
        <c:numFmt formatCode="0%" sourceLinked="0"/>
        <c:tickLblPos val="nextTo"/>
        <c:crossAx val="1250647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'17年4月'!$B$90</c:f>
              <c:strCache>
                <c:ptCount val="1"/>
                <c:pt idx="0">
                  <c:v>4月各行业</c:v>
                </c:pt>
              </c:strCache>
            </c:strRef>
          </c:tx>
          <c:cat>
            <c:strRef>
              <c:f>'17年4月'!$A$91:$A$100</c:f>
              <c:strCache>
                <c:ptCount val="10"/>
                <c:pt idx="0">
                  <c:v>采矿业</c:v>
                </c:pt>
                <c:pt idx="1">
                  <c:v>房地产业（保障房）</c:v>
                </c:pt>
                <c:pt idx="2">
                  <c:v>公共管理和社会组织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租赁和商务服务业</c:v>
                </c:pt>
                <c:pt idx="8">
                  <c:v>综合</c:v>
                </c:pt>
                <c:pt idx="9">
                  <c:v>制造业</c:v>
                </c:pt>
              </c:strCache>
            </c:strRef>
          </c:cat>
          <c:val>
            <c:numRef>
              <c:f>'17年4月'!$B$91:$B$100</c:f>
              <c:numCache>
                <c:formatCode>0.00%</c:formatCode>
                <c:ptCount val="10"/>
                <c:pt idx="0">
                  <c:v>1.0396732057982314E-2</c:v>
                </c:pt>
                <c:pt idx="1">
                  <c:v>1.391798133598704E-3</c:v>
                </c:pt>
                <c:pt idx="2">
                  <c:v>0.20664722788606746</c:v>
                </c:pt>
                <c:pt idx="3">
                  <c:v>1.0438486001990268E-2</c:v>
                </c:pt>
                <c:pt idx="4">
                  <c:v>5.2192430009951416E-3</c:v>
                </c:pt>
                <c:pt idx="5">
                  <c:v>0.18893659663602397</c:v>
                </c:pt>
                <c:pt idx="6">
                  <c:v>0.33444909150376839</c:v>
                </c:pt>
                <c:pt idx="7">
                  <c:v>0.14161546009366804</c:v>
                </c:pt>
                <c:pt idx="8">
                  <c:v>4.5233439341957858E-2</c:v>
                </c:pt>
                <c:pt idx="9">
                  <c:v>5.5671925343948117E-2</c:v>
                </c:pt>
              </c:numCache>
            </c:numRef>
          </c:val>
        </c:ser>
        <c:ser>
          <c:idx val="1"/>
          <c:order val="1"/>
          <c:tx>
            <c:strRef>
              <c:f>'17年4月'!$C$90</c:f>
              <c:strCache>
                <c:ptCount val="1"/>
                <c:pt idx="0">
                  <c:v>3月各行业</c:v>
                </c:pt>
              </c:strCache>
            </c:strRef>
          </c:tx>
          <c:cat>
            <c:strRef>
              <c:f>'17年4月'!$A$91:$A$100</c:f>
              <c:strCache>
                <c:ptCount val="10"/>
                <c:pt idx="0">
                  <c:v>采矿业</c:v>
                </c:pt>
                <c:pt idx="1">
                  <c:v>房地产业（保障房）</c:v>
                </c:pt>
                <c:pt idx="2">
                  <c:v>公共管理和社会组织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租赁和商务服务业</c:v>
                </c:pt>
                <c:pt idx="8">
                  <c:v>综合</c:v>
                </c:pt>
                <c:pt idx="9">
                  <c:v>制造业</c:v>
                </c:pt>
              </c:strCache>
            </c:strRef>
          </c:cat>
          <c:val>
            <c:numRef>
              <c:f>'17年4月'!$C$91:$C$100</c:f>
              <c:numCache>
                <c:formatCode>0.00%</c:formatCode>
                <c:ptCount val="10"/>
                <c:pt idx="0">
                  <c:v>1.7962344001731315E-2</c:v>
                </c:pt>
                <c:pt idx="1">
                  <c:v>0</c:v>
                </c:pt>
                <c:pt idx="2">
                  <c:v>0.23679274773366676</c:v>
                </c:pt>
                <c:pt idx="3">
                  <c:v>0</c:v>
                </c:pt>
                <c:pt idx="4">
                  <c:v>9.017240964724553E-3</c:v>
                </c:pt>
                <c:pt idx="5">
                  <c:v>0.32642412292302897</c:v>
                </c:pt>
                <c:pt idx="6">
                  <c:v>0.34505975425012625</c:v>
                </c:pt>
                <c:pt idx="7">
                  <c:v>4.6288503618919377E-3</c:v>
                </c:pt>
                <c:pt idx="8">
                  <c:v>0</c:v>
                </c:pt>
                <c:pt idx="9">
                  <c:v>6.0114939764830386E-2</c:v>
                </c:pt>
              </c:numCache>
            </c:numRef>
          </c:val>
        </c:ser>
        <c:ser>
          <c:idx val="2"/>
          <c:order val="2"/>
          <c:tx>
            <c:strRef>
              <c:f>'17年4月'!$D$90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'17年4月'!$A$91:$A$100</c:f>
              <c:strCache>
                <c:ptCount val="10"/>
                <c:pt idx="0">
                  <c:v>采矿业</c:v>
                </c:pt>
                <c:pt idx="1">
                  <c:v>房地产业（保障房）</c:v>
                </c:pt>
                <c:pt idx="2">
                  <c:v>公共管理和社会组织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租赁和商务服务业</c:v>
                </c:pt>
                <c:pt idx="8">
                  <c:v>综合</c:v>
                </c:pt>
                <c:pt idx="9">
                  <c:v>制造业</c:v>
                </c:pt>
              </c:strCache>
            </c:strRef>
          </c:cat>
          <c:val>
            <c:numRef>
              <c:f>'17年4月'!$D$91:$D$100</c:f>
              <c:numCache>
                <c:formatCode>0.00%</c:formatCode>
                <c:ptCount val="10"/>
                <c:pt idx="0">
                  <c:v>-7.5656119437490024E-3</c:v>
                </c:pt>
                <c:pt idx="1">
                  <c:v>1.391798133598704E-3</c:v>
                </c:pt>
                <c:pt idx="2">
                  <c:v>-3.0145519847599375E-2</c:v>
                </c:pt>
                <c:pt idx="3">
                  <c:v>1.0438486001990268E-2</c:v>
                </c:pt>
                <c:pt idx="4">
                  <c:v>-3.7979979637294201E-3</c:v>
                </c:pt>
                <c:pt idx="5">
                  <c:v>-0.13748752628700495</c:v>
                </c:pt>
                <c:pt idx="6">
                  <c:v>-1.0610662746357972E-2</c:v>
                </c:pt>
                <c:pt idx="7">
                  <c:v>0.13698660973177609</c:v>
                </c:pt>
                <c:pt idx="8">
                  <c:v>4.5233439341957858E-2</c:v>
                </c:pt>
                <c:pt idx="9">
                  <c:v>-4.4430144208822426E-3</c:v>
                </c:pt>
              </c:numCache>
            </c:numRef>
          </c:val>
        </c:ser>
        <c:axId val="140624640"/>
        <c:axId val="142655872"/>
      </c:barChart>
      <c:catAx>
        <c:axId val="140624640"/>
        <c:scaling>
          <c:orientation val="minMax"/>
        </c:scaling>
        <c:axPos val="l"/>
        <c:numFmt formatCode="General" sourceLinked="1"/>
        <c:tickLblPos val="nextTo"/>
        <c:crossAx val="142655872"/>
        <c:crosses val="autoZero"/>
        <c:auto val="1"/>
        <c:lblAlgn val="ctr"/>
        <c:lblOffset val="100"/>
      </c:catAx>
      <c:valAx>
        <c:axId val="142655872"/>
        <c:scaling>
          <c:orientation val="minMax"/>
        </c:scaling>
        <c:axPos val="b"/>
        <c:majorGridlines/>
        <c:numFmt formatCode="0%" sourceLinked="0"/>
        <c:tickLblPos val="nextTo"/>
        <c:crossAx val="14062464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2017-05-08T06:30:00Z</dcterms:created>
  <dcterms:modified xsi:type="dcterms:W3CDTF">2017-05-08T06:30:00Z</dcterms:modified>
</cp:coreProperties>
</file>