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FBFF24B" w14:textId="77777777" w:rsidR="00A818E6" w:rsidRDefault="00A818E6">
      <w:pPr>
        <w:jc w:val="center"/>
        <w:rPr>
          <w:rFonts w:ascii="宋体" w:eastAsia="宋体" w:hAnsi="宋体"/>
          <w:color w:val="000000" w:themeColor="text1"/>
          <w:sz w:val="24"/>
          <w:lang w:val="en-GB"/>
        </w:rPr>
      </w:pPr>
    </w:p>
    <w:p w14:paraId="71BF02CE" w14:textId="77777777" w:rsidR="00A818E6" w:rsidRDefault="00A818E6">
      <w:pPr>
        <w:jc w:val="center"/>
        <w:rPr>
          <w:rFonts w:ascii="宋体" w:eastAsia="宋体" w:hAnsi="宋体"/>
          <w:color w:val="000000" w:themeColor="text1"/>
          <w:sz w:val="24"/>
          <w:lang w:val="en-GB"/>
        </w:rPr>
      </w:pPr>
    </w:p>
    <w:p w14:paraId="47DB97B0" w14:textId="77777777" w:rsidR="00A818E6" w:rsidRDefault="00A818E6">
      <w:pPr>
        <w:jc w:val="center"/>
        <w:rPr>
          <w:rFonts w:ascii="宋体" w:eastAsia="宋体" w:hAnsi="宋体"/>
          <w:color w:val="000000" w:themeColor="text1"/>
          <w:sz w:val="24"/>
          <w:lang w:val="en-GB"/>
        </w:rPr>
      </w:pPr>
    </w:p>
    <w:p w14:paraId="4E5728B5" w14:textId="77777777" w:rsidR="00A818E6" w:rsidRDefault="00A818E6">
      <w:pPr>
        <w:jc w:val="center"/>
        <w:rPr>
          <w:rFonts w:ascii="宋体" w:eastAsia="宋体" w:hAnsi="宋体"/>
          <w:color w:val="000000" w:themeColor="text1"/>
          <w:sz w:val="24"/>
          <w:lang w:val="en-GB"/>
        </w:rPr>
      </w:pPr>
    </w:p>
    <w:p w14:paraId="00C18591" w14:textId="77777777" w:rsidR="00A818E6" w:rsidRDefault="00A818E6">
      <w:pPr>
        <w:jc w:val="center"/>
        <w:rPr>
          <w:rFonts w:ascii="宋体" w:eastAsia="宋体" w:hAnsi="宋体"/>
          <w:color w:val="000000" w:themeColor="text1"/>
          <w:sz w:val="24"/>
          <w:lang w:val="en-GB"/>
        </w:rPr>
      </w:pPr>
    </w:p>
    <w:p w14:paraId="1B2DCF0A" w14:textId="77777777" w:rsidR="00A818E6" w:rsidRDefault="00A818E6">
      <w:pPr>
        <w:jc w:val="center"/>
        <w:rPr>
          <w:rFonts w:ascii="宋体" w:eastAsia="宋体" w:hAnsi="宋体"/>
          <w:color w:val="000000" w:themeColor="text1"/>
          <w:sz w:val="24"/>
          <w:lang w:val="en-GB"/>
        </w:rPr>
      </w:pPr>
    </w:p>
    <w:p w14:paraId="476C716C" w14:textId="77777777" w:rsidR="00A818E6" w:rsidRDefault="00A818E6">
      <w:pPr>
        <w:jc w:val="center"/>
        <w:rPr>
          <w:rFonts w:ascii="宋体" w:eastAsia="宋体" w:hAnsi="宋体"/>
          <w:color w:val="000000" w:themeColor="text1"/>
          <w:sz w:val="24"/>
          <w:lang w:val="en-GB"/>
        </w:rPr>
      </w:pPr>
    </w:p>
    <w:p w14:paraId="264829D2" w14:textId="77777777" w:rsidR="00A818E6" w:rsidRDefault="00A818E6">
      <w:pPr>
        <w:jc w:val="center"/>
        <w:rPr>
          <w:rFonts w:ascii="宋体" w:eastAsia="宋体" w:hAnsi="宋体"/>
          <w:color w:val="000000" w:themeColor="text1"/>
          <w:sz w:val="24"/>
          <w:lang w:val="en-GB"/>
        </w:rPr>
      </w:pPr>
    </w:p>
    <w:p w14:paraId="39791689" w14:textId="77777777" w:rsidR="00A818E6" w:rsidRDefault="00A818E6">
      <w:pPr>
        <w:jc w:val="center"/>
        <w:rPr>
          <w:rFonts w:ascii="宋体" w:eastAsia="宋体" w:hAnsi="宋体"/>
          <w:color w:val="000000" w:themeColor="text1"/>
          <w:sz w:val="24"/>
          <w:lang w:val="en-GB"/>
        </w:rPr>
      </w:pPr>
    </w:p>
    <w:p w14:paraId="756256EA" w14:textId="77777777" w:rsidR="00A818E6" w:rsidRDefault="00A818E6">
      <w:pPr>
        <w:jc w:val="center"/>
        <w:rPr>
          <w:rFonts w:ascii="宋体" w:eastAsia="宋体" w:hAnsi="宋体"/>
          <w:color w:val="000000" w:themeColor="text1"/>
          <w:sz w:val="24"/>
          <w:lang w:val="en-GB"/>
        </w:rPr>
      </w:pPr>
    </w:p>
    <w:p w14:paraId="58AD4458" w14:textId="77777777" w:rsidR="00A818E6" w:rsidRDefault="00A818E6">
      <w:pPr>
        <w:jc w:val="center"/>
        <w:rPr>
          <w:rFonts w:ascii="宋体" w:eastAsia="宋体" w:hAnsi="宋体"/>
          <w:color w:val="000000" w:themeColor="text1"/>
          <w:sz w:val="24"/>
          <w:lang w:val="en-GB"/>
        </w:rPr>
      </w:pPr>
    </w:p>
    <w:p w14:paraId="1AD061DF" w14:textId="260F9BD6" w:rsidR="00A818E6" w:rsidRDefault="008434C4">
      <w:pPr>
        <w:adjustRightInd w:val="0"/>
        <w:snapToGrid w:val="0"/>
        <w:jc w:val="center"/>
        <w:rPr>
          <w:rFonts w:ascii="彩虹粗仿宋" w:eastAsia="彩虹粗仿宋" w:hAnsi="宋体" w:cs="Arial"/>
          <w:b/>
          <w:color w:val="000000" w:themeColor="text1"/>
          <w:sz w:val="44"/>
          <w:szCs w:val="24"/>
        </w:rPr>
      </w:pPr>
      <w:r>
        <w:rPr>
          <w:rFonts w:ascii="彩虹粗仿宋" w:eastAsia="彩虹粗仿宋" w:hAnsi="宋体" w:cs="Arial" w:hint="eastAsia"/>
          <w:b/>
          <w:color w:val="000000" w:themeColor="text1"/>
          <w:sz w:val="44"/>
          <w:szCs w:val="24"/>
        </w:rPr>
        <w:t>万家消费启航混合型发起式证券投资基金</w:t>
      </w:r>
    </w:p>
    <w:p w14:paraId="47475E09" w14:textId="249674DC" w:rsidR="00A818E6" w:rsidRDefault="008434C4">
      <w:pPr>
        <w:adjustRightInd w:val="0"/>
        <w:snapToGrid w:val="0"/>
        <w:jc w:val="center"/>
        <w:rPr>
          <w:rFonts w:ascii="彩虹粗仿宋" w:eastAsia="彩虹粗仿宋" w:hAnsi="宋体" w:cs="Arial"/>
          <w:b/>
          <w:color w:val="000000" w:themeColor="text1"/>
          <w:sz w:val="44"/>
          <w:szCs w:val="24"/>
        </w:rPr>
      </w:pPr>
      <w:r>
        <w:rPr>
          <w:rFonts w:ascii="彩虹粗仿宋" w:eastAsia="彩虹粗仿宋" w:hAnsi="宋体" w:cs="Arial" w:hint="eastAsia"/>
          <w:b/>
          <w:color w:val="000000" w:themeColor="text1"/>
          <w:sz w:val="44"/>
          <w:szCs w:val="24"/>
        </w:rPr>
        <w:t>托管协议</w:t>
      </w:r>
    </w:p>
    <w:p w14:paraId="17EF57B0" w14:textId="77777777" w:rsidR="00A818E6" w:rsidRDefault="00A818E6">
      <w:pPr>
        <w:jc w:val="center"/>
        <w:rPr>
          <w:rFonts w:ascii="宋体" w:eastAsia="宋体" w:hAnsi="宋体"/>
          <w:color w:val="000000" w:themeColor="text1"/>
          <w:sz w:val="24"/>
          <w:lang w:val="en-GB"/>
        </w:rPr>
      </w:pPr>
    </w:p>
    <w:p w14:paraId="5403BB4D" w14:textId="77777777" w:rsidR="00A818E6" w:rsidRDefault="00A818E6">
      <w:pPr>
        <w:jc w:val="center"/>
        <w:rPr>
          <w:rFonts w:ascii="宋体" w:eastAsia="宋体" w:hAnsi="宋体"/>
          <w:color w:val="000000" w:themeColor="text1"/>
          <w:sz w:val="24"/>
          <w:lang w:val="en-GB"/>
        </w:rPr>
      </w:pPr>
    </w:p>
    <w:p w14:paraId="2E3553F0" w14:textId="77777777" w:rsidR="00A818E6" w:rsidRDefault="00A818E6">
      <w:pPr>
        <w:jc w:val="center"/>
        <w:rPr>
          <w:rFonts w:ascii="宋体" w:eastAsia="宋体" w:hAnsi="宋体"/>
          <w:color w:val="000000" w:themeColor="text1"/>
          <w:sz w:val="24"/>
          <w:lang w:val="en-GB"/>
        </w:rPr>
      </w:pPr>
    </w:p>
    <w:p w14:paraId="4EE1E54B" w14:textId="77777777" w:rsidR="00A818E6" w:rsidRDefault="00A818E6">
      <w:pPr>
        <w:jc w:val="center"/>
        <w:rPr>
          <w:rFonts w:ascii="宋体" w:eastAsia="宋体" w:hAnsi="宋体"/>
          <w:color w:val="000000" w:themeColor="text1"/>
          <w:sz w:val="24"/>
          <w:lang w:val="en-GB"/>
        </w:rPr>
      </w:pPr>
    </w:p>
    <w:p w14:paraId="4B26568C" w14:textId="77777777" w:rsidR="00A818E6" w:rsidRDefault="00A818E6">
      <w:pPr>
        <w:jc w:val="center"/>
        <w:rPr>
          <w:rFonts w:ascii="宋体" w:eastAsia="宋体" w:hAnsi="宋体"/>
          <w:color w:val="000000" w:themeColor="text1"/>
          <w:sz w:val="24"/>
          <w:lang w:val="en-GB"/>
        </w:rPr>
      </w:pPr>
    </w:p>
    <w:p w14:paraId="18D30CB5" w14:textId="77777777" w:rsidR="00A818E6" w:rsidRDefault="00A818E6">
      <w:pPr>
        <w:jc w:val="center"/>
        <w:rPr>
          <w:rFonts w:ascii="宋体" w:eastAsia="宋体" w:hAnsi="宋体"/>
          <w:color w:val="000000" w:themeColor="text1"/>
          <w:sz w:val="24"/>
          <w:lang w:val="en-GB"/>
        </w:rPr>
      </w:pPr>
    </w:p>
    <w:p w14:paraId="739B390B" w14:textId="77777777" w:rsidR="00A818E6" w:rsidRDefault="00A818E6">
      <w:pPr>
        <w:jc w:val="center"/>
        <w:rPr>
          <w:rFonts w:ascii="宋体" w:eastAsia="宋体" w:hAnsi="宋体"/>
          <w:color w:val="000000" w:themeColor="text1"/>
          <w:sz w:val="24"/>
          <w:lang w:val="en-GB"/>
        </w:rPr>
      </w:pPr>
    </w:p>
    <w:p w14:paraId="24E84B2A" w14:textId="77777777" w:rsidR="00A818E6" w:rsidRDefault="00A818E6">
      <w:pPr>
        <w:jc w:val="center"/>
        <w:rPr>
          <w:rFonts w:ascii="宋体" w:eastAsia="宋体" w:hAnsi="宋体"/>
          <w:color w:val="000000" w:themeColor="text1"/>
          <w:sz w:val="24"/>
          <w:lang w:val="en-GB"/>
        </w:rPr>
      </w:pPr>
    </w:p>
    <w:p w14:paraId="7E9860F2" w14:textId="77777777" w:rsidR="00A818E6" w:rsidRDefault="00A818E6">
      <w:pPr>
        <w:jc w:val="center"/>
        <w:rPr>
          <w:rFonts w:ascii="宋体" w:eastAsia="宋体" w:hAnsi="宋体"/>
          <w:color w:val="000000" w:themeColor="text1"/>
          <w:sz w:val="24"/>
          <w:lang w:val="en-GB"/>
        </w:rPr>
      </w:pPr>
    </w:p>
    <w:p w14:paraId="36CC2A30" w14:textId="77777777" w:rsidR="00A818E6" w:rsidRDefault="00A818E6">
      <w:pPr>
        <w:jc w:val="center"/>
        <w:rPr>
          <w:rFonts w:ascii="宋体" w:eastAsia="宋体" w:hAnsi="宋体"/>
          <w:color w:val="000000" w:themeColor="text1"/>
          <w:sz w:val="24"/>
          <w:lang w:val="en-GB"/>
        </w:rPr>
      </w:pPr>
    </w:p>
    <w:p w14:paraId="517B3A18" w14:textId="77777777" w:rsidR="00A818E6" w:rsidRDefault="00A818E6">
      <w:pPr>
        <w:jc w:val="center"/>
        <w:rPr>
          <w:rFonts w:ascii="宋体" w:eastAsia="宋体" w:hAnsi="宋体"/>
          <w:color w:val="000000" w:themeColor="text1"/>
          <w:sz w:val="24"/>
          <w:lang w:val="en-GB"/>
        </w:rPr>
      </w:pPr>
    </w:p>
    <w:p w14:paraId="7F708F92" w14:textId="77777777" w:rsidR="00A818E6" w:rsidRDefault="00A818E6">
      <w:pPr>
        <w:jc w:val="center"/>
        <w:rPr>
          <w:rFonts w:ascii="宋体" w:eastAsia="宋体" w:hAnsi="宋体"/>
          <w:color w:val="000000" w:themeColor="text1"/>
          <w:sz w:val="24"/>
          <w:lang w:val="en-GB"/>
        </w:rPr>
      </w:pPr>
    </w:p>
    <w:p w14:paraId="1C40C09D" w14:textId="77777777" w:rsidR="00A818E6" w:rsidRDefault="00A818E6">
      <w:pPr>
        <w:jc w:val="center"/>
        <w:rPr>
          <w:rFonts w:ascii="宋体" w:eastAsia="宋体" w:hAnsi="宋体"/>
          <w:color w:val="000000" w:themeColor="text1"/>
          <w:sz w:val="24"/>
          <w:lang w:val="en-GB"/>
        </w:rPr>
      </w:pPr>
    </w:p>
    <w:p w14:paraId="7B2A0226" w14:textId="77777777" w:rsidR="00A818E6" w:rsidRDefault="00A818E6">
      <w:pPr>
        <w:jc w:val="center"/>
        <w:rPr>
          <w:rFonts w:ascii="宋体" w:eastAsia="宋体" w:hAnsi="宋体"/>
          <w:color w:val="000000" w:themeColor="text1"/>
          <w:sz w:val="24"/>
          <w:lang w:val="en-GB"/>
        </w:rPr>
      </w:pPr>
    </w:p>
    <w:p w14:paraId="15A17813" w14:textId="77777777" w:rsidR="00A818E6" w:rsidRDefault="00A818E6">
      <w:pPr>
        <w:jc w:val="center"/>
        <w:rPr>
          <w:rFonts w:ascii="宋体" w:eastAsia="宋体" w:hAnsi="宋体"/>
          <w:color w:val="000000" w:themeColor="text1"/>
          <w:sz w:val="24"/>
          <w:lang w:val="en-GB"/>
        </w:rPr>
      </w:pPr>
    </w:p>
    <w:p w14:paraId="6E882593" w14:textId="77777777" w:rsidR="00A818E6" w:rsidRDefault="008434C4">
      <w:pPr>
        <w:adjustRightInd w:val="0"/>
        <w:snapToGrid w:val="0"/>
        <w:jc w:val="center"/>
        <w:rPr>
          <w:rFonts w:ascii="彩虹粗仿宋" w:eastAsia="彩虹粗仿宋" w:hAnsi="宋体" w:cs="Arial"/>
          <w:b/>
          <w:color w:val="000000" w:themeColor="text1"/>
          <w:sz w:val="28"/>
          <w:szCs w:val="28"/>
        </w:rPr>
      </w:pPr>
      <w:r>
        <w:rPr>
          <w:rFonts w:ascii="彩虹粗仿宋" w:eastAsia="彩虹粗仿宋" w:hAnsi="宋体" w:cs="Arial" w:hint="eastAsia"/>
          <w:b/>
          <w:color w:val="000000" w:themeColor="text1"/>
          <w:sz w:val="28"/>
          <w:szCs w:val="28"/>
        </w:rPr>
        <w:t>基金管理人：万家基金管理有限公司</w:t>
      </w:r>
    </w:p>
    <w:p w14:paraId="78166CD6" w14:textId="77777777" w:rsidR="00A818E6" w:rsidRDefault="008434C4">
      <w:pPr>
        <w:adjustRightInd w:val="0"/>
        <w:snapToGrid w:val="0"/>
        <w:jc w:val="center"/>
        <w:rPr>
          <w:rFonts w:ascii="彩虹粗仿宋" w:eastAsia="彩虹粗仿宋" w:hAnsi="宋体" w:cs="Arial"/>
          <w:b/>
          <w:color w:val="000000" w:themeColor="text1"/>
          <w:sz w:val="28"/>
          <w:szCs w:val="28"/>
        </w:rPr>
      </w:pPr>
      <w:r>
        <w:rPr>
          <w:rFonts w:ascii="彩虹粗仿宋" w:eastAsia="彩虹粗仿宋" w:hAnsi="宋体" w:cs="Arial" w:hint="eastAsia"/>
          <w:b/>
          <w:color w:val="000000" w:themeColor="text1"/>
          <w:sz w:val="28"/>
          <w:szCs w:val="28"/>
        </w:rPr>
        <w:t>基金托管人：中国建设银行股份有限公司</w:t>
      </w:r>
    </w:p>
    <w:p w14:paraId="0F5A5870" w14:textId="77777777" w:rsidR="00A818E6" w:rsidRDefault="00A818E6">
      <w:pPr>
        <w:jc w:val="center"/>
        <w:rPr>
          <w:rFonts w:ascii="宋体" w:eastAsia="宋体" w:hAnsi="宋体"/>
          <w:color w:val="000000" w:themeColor="text1"/>
          <w:sz w:val="24"/>
          <w:lang w:val="en-GB"/>
        </w:rPr>
      </w:pPr>
    </w:p>
    <w:p w14:paraId="17FF7C8F" w14:textId="77777777" w:rsidR="00A818E6" w:rsidRDefault="00A818E6">
      <w:pPr>
        <w:jc w:val="center"/>
        <w:rPr>
          <w:rFonts w:ascii="宋体" w:eastAsia="宋体" w:hAnsi="宋体"/>
          <w:color w:val="000000" w:themeColor="text1"/>
          <w:sz w:val="24"/>
          <w:lang w:val="en-GB"/>
        </w:rPr>
      </w:pPr>
    </w:p>
    <w:p w14:paraId="3F5A3272" w14:textId="77777777" w:rsidR="00A818E6" w:rsidRDefault="00A818E6">
      <w:pPr>
        <w:jc w:val="center"/>
        <w:rPr>
          <w:rFonts w:ascii="宋体" w:eastAsia="宋体" w:hAnsi="宋体"/>
          <w:color w:val="000000" w:themeColor="text1"/>
          <w:sz w:val="24"/>
          <w:lang w:val="en-GB"/>
        </w:rPr>
      </w:pPr>
    </w:p>
    <w:p w14:paraId="024E179C" w14:textId="77777777" w:rsidR="00A818E6" w:rsidRDefault="00A818E6">
      <w:pPr>
        <w:jc w:val="center"/>
        <w:rPr>
          <w:rFonts w:ascii="宋体" w:eastAsia="宋体" w:hAnsi="宋体"/>
          <w:color w:val="000000" w:themeColor="text1"/>
          <w:sz w:val="24"/>
          <w:lang w:val="en-GB"/>
        </w:rPr>
      </w:pPr>
    </w:p>
    <w:p w14:paraId="08EC6722" w14:textId="1DB9B0DF" w:rsidR="00A818E6" w:rsidRDefault="003B7047">
      <w:pPr>
        <w:adjustRightInd w:val="0"/>
        <w:snapToGrid w:val="0"/>
        <w:jc w:val="center"/>
        <w:rPr>
          <w:rFonts w:ascii="彩虹粗仿宋" w:eastAsia="彩虹粗仿宋" w:hAnsi="宋体" w:cs="Arial"/>
          <w:color w:val="000000" w:themeColor="text1"/>
          <w:sz w:val="24"/>
          <w:szCs w:val="24"/>
        </w:rPr>
      </w:pPr>
      <w:r>
        <w:rPr>
          <w:rFonts w:ascii="彩虹粗仿宋" w:eastAsia="彩虹粗仿宋" w:hAnsi="宋体" w:cs="Arial" w:hint="eastAsia"/>
          <w:color w:val="000000" w:themeColor="text1"/>
          <w:sz w:val="24"/>
          <w:szCs w:val="24"/>
        </w:rPr>
        <w:t>二零二六年六</w:t>
      </w:r>
      <w:r w:rsidR="008434C4">
        <w:rPr>
          <w:rFonts w:ascii="彩虹粗仿宋" w:eastAsia="彩虹粗仿宋" w:hAnsi="宋体" w:cs="Arial" w:hint="eastAsia"/>
          <w:color w:val="000000" w:themeColor="text1"/>
          <w:sz w:val="24"/>
          <w:szCs w:val="24"/>
        </w:rPr>
        <w:t>月</w:t>
      </w:r>
    </w:p>
    <w:p w14:paraId="703D4450" w14:textId="77777777" w:rsidR="00A818E6" w:rsidRDefault="00A818E6">
      <w:pPr>
        <w:jc w:val="center"/>
        <w:rPr>
          <w:rFonts w:ascii="宋体" w:eastAsia="宋体" w:hAnsi="宋体"/>
          <w:color w:val="000000" w:themeColor="text1"/>
          <w:sz w:val="24"/>
          <w:lang w:val="en-GB"/>
        </w:rPr>
      </w:pPr>
    </w:p>
    <w:p w14:paraId="7972B466" w14:textId="77777777" w:rsidR="00A818E6" w:rsidRDefault="008434C4">
      <w:pPr>
        <w:widowControl/>
        <w:jc w:val="left"/>
        <w:rPr>
          <w:rFonts w:ascii="宋体" w:eastAsia="宋体" w:hAnsi="宋体"/>
          <w:b/>
          <w:bCs/>
          <w:color w:val="000000" w:themeColor="text1"/>
          <w:sz w:val="30"/>
        </w:rPr>
      </w:pPr>
      <w:r>
        <w:rPr>
          <w:rFonts w:ascii="宋体" w:eastAsia="宋体" w:hAnsi="宋体"/>
          <w:b/>
          <w:bCs/>
          <w:color w:val="000000" w:themeColor="text1"/>
          <w:sz w:val="30"/>
        </w:rPr>
        <w:br w:type="page"/>
      </w:r>
    </w:p>
    <w:p w14:paraId="407FAE02" w14:textId="77777777" w:rsidR="00A818E6" w:rsidRDefault="008434C4">
      <w:pPr>
        <w:jc w:val="center"/>
        <w:rPr>
          <w:rFonts w:ascii="彩虹粗仿宋" w:eastAsia="彩虹粗仿宋" w:hAnsi="Times New Roman" w:cs="Times New Roman"/>
          <w:b/>
          <w:bCs/>
          <w:color w:val="000000" w:themeColor="text1"/>
          <w:sz w:val="30"/>
          <w:szCs w:val="24"/>
        </w:rPr>
      </w:pPr>
      <w:r>
        <w:rPr>
          <w:rFonts w:ascii="彩虹粗仿宋" w:eastAsia="彩虹粗仿宋" w:hAnsi="Times New Roman" w:cs="Times New Roman" w:hint="eastAsia"/>
          <w:b/>
          <w:bCs/>
          <w:color w:val="000000" w:themeColor="text1"/>
          <w:sz w:val="30"/>
          <w:szCs w:val="24"/>
        </w:rPr>
        <w:lastRenderedPageBreak/>
        <w:t>目    录</w:t>
      </w:r>
    </w:p>
    <w:p w14:paraId="7D434D6D" w14:textId="573C2C49" w:rsidR="00A818E6" w:rsidRDefault="008434C4">
      <w:pPr>
        <w:pStyle w:val="23"/>
        <w:ind w:leftChars="0" w:left="0"/>
        <w:rPr>
          <w:rStyle w:val="af5"/>
          <w:rFonts w:ascii="彩虹粗仿宋" w:eastAsia="彩虹粗仿宋"/>
          <w:noProof/>
          <w:color w:val="000000" w:themeColor="text1"/>
          <w:sz w:val="28"/>
          <w:szCs w:val="32"/>
        </w:rPr>
      </w:pPr>
      <w:r>
        <w:rPr>
          <w:rStyle w:val="af5"/>
          <w:rFonts w:ascii="彩虹粗仿宋" w:eastAsia="彩虹粗仿宋" w:hint="eastAsia"/>
          <w:color w:val="000000" w:themeColor="text1"/>
          <w:sz w:val="28"/>
          <w:szCs w:val="32"/>
        </w:rPr>
        <w:fldChar w:fldCharType="begin"/>
      </w:r>
      <w:r>
        <w:rPr>
          <w:rStyle w:val="af5"/>
          <w:rFonts w:ascii="彩虹粗仿宋" w:eastAsia="彩虹粗仿宋" w:hint="eastAsia"/>
          <w:color w:val="000000" w:themeColor="text1"/>
          <w:sz w:val="28"/>
          <w:szCs w:val="32"/>
        </w:rPr>
        <w:instrText xml:space="preserve"> TOC \o "1-2" \h \z </w:instrText>
      </w:r>
      <w:r>
        <w:rPr>
          <w:rStyle w:val="af5"/>
          <w:rFonts w:ascii="彩虹粗仿宋" w:eastAsia="彩虹粗仿宋" w:hint="eastAsia"/>
          <w:color w:val="000000" w:themeColor="text1"/>
          <w:sz w:val="28"/>
          <w:szCs w:val="32"/>
        </w:rPr>
        <w:fldChar w:fldCharType="separate"/>
      </w:r>
      <w:hyperlink w:anchor="_Toc124325885" w:history="1">
        <w:r>
          <w:rPr>
            <w:rStyle w:val="af5"/>
            <w:rFonts w:ascii="彩虹粗仿宋" w:eastAsia="彩虹粗仿宋" w:hAnsi="宋体" w:hint="eastAsia"/>
            <w:noProof/>
            <w:color w:val="000000" w:themeColor="text1"/>
            <w:sz w:val="28"/>
            <w:szCs w:val="32"/>
          </w:rPr>
          <w:t>一、基金托管协议当事人</w:t>
        </w:r>
        <w:r>
          <w:rPr>
            <w:rStyle w:val="af5"/>
            <w:rFonts w:ascii="彩虹粗仿宋" w:eastAsia="彩虹粗仿宋" w:hint="eastAsia"/>
            <w:noProof/>
            <w:color w:val="000000" w:themeColor="text1"/>
            <w:sz w:val="28"/>
            <w:szCs w:val="32"/>
          </w:rPr>
          <w:tab/>
        </w:r>
        <w:r>
          <w:rPr>
            <w:rStyle w:val="af5"/>
            <w:rFonts w:ascii="彩虹粗仿宋" w:eastAsia="彩虹粗仿宋" w:hint="eastAsia"/>
            <w:noProof/>
            <w:color w:val="000000" w:themeColor="text1"/>
            <w:sz w:val="28"/>
            <w:szCs w:val="32"/>
          </w:rPr>
          <w:fldChar w:fldCharType="begin"/>
        </w:r>
        <w:r>
          <w:rPr>
            <w:rStyle w:val="af5"/>
            <w:rFonts w:ascii="彩虹粗仿宋" w:eastAsia="彩虹粗仿宋" w:hint="eastAsia"/>
            <w:noProof/>
            <w:color w:val="000000" w:themeColor="text1"/>
            <w:sz w:val="28"/>
            <w:szCs w:val="32"/>
          </w:rPr>
          <w:instrText xml:space="preserve"> PAGEREF _Toc124325885 \h </w:instrText>
        </w:r>
        <w:r>
          <w:rPr>
            <w:rStyle w:val="af5"/>
            <w:rFonts w:ascii="彩虹粗仿宋" w:eastAsia="彩虹粗仿宋" w:hint="eastAsia"/>
            <w:noProof/>
            <w:color w:val="000000" w:themeColor="text1"/>
            <w:sz w:val="28"/>
            <w:szCs w:val="32"/>
          </w:rPr>
        </w:r>
        <w:r>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3</w:t>
        </w:r>
        <w:r>
          <w:rPr>
            <w:rStyle w:val="af5"/>
            <w:rFonts w:ascii="彩虹粗仿宋" w:eastAsia="彩虹粗仿宋" w:hint="eastAsia"/>
            <w:noProof/>
            <w:color w:val="000000" w:themeColor="text1"/>
            <w:sz w:val="28"/>
            <w:szCs w:val="32"/>
          </w:rPr>
          <w:fldChar w:fldCharType="end"/>
        </w:r>
      </w:hyperlink>
    </w:p>
    <w:p w14:paraId="19FE5279" w14:textId="020503D1" w:rsidR="00A818E6" w:rsidRDefault="004E12B0">
      <w:pPr>
        <w:pStyle w:val="23"/>
        <w:ind w:leftChars="0" w:left="0"/>
        <w:rPr>
          <w:rStyle w:val="af5"/>
          <w:rFonts w:ascii="彩虹粗仿宋" w:eastAsia="彩虹粗仿宋"/>
          <w:noProof/>
          <w:color w:val="000000" w:themeColor="text1"/>
          <w:sz w:val="28"/>
          <w:szCs w:val="32"/>
        </w:rPr>
      </w:pPr>
      <w:hyperlink w:anchor="_Toc124325886" w:history="1">
        <w:r w:rsidR="008434C4">
          <w:rPr>
            <w:rStyle w:val="af5"/>
            <w:rFonts w:ascii="彩虹粗仿宋" w:eastAsia="彩虹粗仿宋" w:hAnsi="宋体" w:hint="eastAsia"/>
            <w:noProof/>
            <w:color w:val="000000" w:themeColor="text1"/>
            <w:sz w:val="28"/>
            <w:szCs w:val="32"/>
          </w:rPr>
          <w:t>二、基金托管协议的依据、目的和原则</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_Toc124325886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4</w:t>
        </w:r>
        <w:r w:rsidR="008434C4">
          <w:rPr>
            <w:rStyle w:val="af5"/>
            <w:rFonts w:ascii="彩虹粗仿宋" w:eastAsia="彩虹粗仿宋" w:hint="eastAsia"/>
            <w:noProof/>
            <w:color w:val="000000" w:themeColor="text1"/>
            <w:sz w:val="28"/>
            <w:szCs w:val="32"/>
          </w:rPr>
          <w:fldChar w:fldCharType="end"/>
        </w:r>
      </w:hyperlink>
    </w:p>
    <w:p w14:paraId="4CAEB9CF" w14:textId="1455BE22" w:rsidR="00A818E6" w:rsidRDefault="004E12B0">
      <w:pPr>
        <w:pStyle w:val="23"/>
        <w:ind w:leftChars="0" w:left="0"/>
        <w:rPr>
          <w:rStyle w:val="af5"/>
          <w:rFonts w:ascii="彩虹粗仿宋" w:eastAsia="彩虹粗仿宋"/>
          <w:noProof/>
          <w:color w:val="000000" w:themeColor="text1"/>
          <w:sz w:val="28"/>
          <w:szCs w:val="32"/>
        </w:rPr>
      </w:pPr>
      <w:hyperlink w:anchor="_Toc124325887" w:history="1">
        <w:r w:rsidR="008434C4">
          <w:rPr>
            <w:rStyle w:val="af5"/>
            <w:rFonts w:ascii="彩虹粗仿宋" w:eastAsia="彩虹粗仿宋" w:hAnsi="宋体" w:hint="eastAsia"/>
            <w:noProof/>
            <w:color w:val="000000" w:themeColor="text1"/>
            <w:sz w:val="28"/>
            <w:szCs w:val="32"/>
          </w:rPr>
          <w:t>三、基金托管人对基金管理人的业务监督和核查</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_Toc124325887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5</w:t>
        </w:r>
        <w:r w:rsidR="008434C4">
          <w:rPr>
            <w:rStyle w:val="af5"/>
            <w:rFonts w:ascii="彩虹粗仿宋" w:eastAsia="彩虹粗仿宋" w:hint="eastAsia"/>
            <w:noProof/>
            <w:color w:val="000000" w:themeColor="text1"/>
            <w:sz w:val="28"/>
            <w:szCs w:val="32"/>
          </w:rPr>
          <w:fldChar w:fldCharType="end"/>
        </w:r>
      </w:hyperlink>
    </w:p>
    <w:p w14:paraId="661B0979" w14:textId="6373CA79" w:rsidR="00A818E6" w:rsidRDefault="004E12B0">
      <w:pPr>
        <w:pStyle w:val="23"/>
        <w:ind w:leftChars="0" w:left="0"/>
        <w:rPr>
          <w:rStyle w:val="af5"/>
          <w:rFonts w:ascii="彩虹粗仿宋" w:eastAsia="彩虹粗仿宋"/>
          <w:noProof/>
          <w:color w:val="000000" w:themeColor="text1"/>
          <w:sz w:val="28"/>
          <w:szCs w:val="32"/>
        </w:rPr>
      </w:pPr>
      <w:hyperlink w:anchor="_Toc124325888" w:history="1">
        <w:r w:rsidR="008434C4">
          <w:rPr>
            <w:rStyle w:val="af5"/>
            <w:rFonts w:ascii="彩虹粗仿宋" w:eastAsia="彩虹粗仿宋" w:hAnsi="宋体" w:hint="eastAsia"/>
            <w:noProof/>
            <w:color w:val="000000" w:themeColor="text1"/>
            <w:sz w:val="28"/>
            <w:szCs w:val="32"/>
          </w:rPr>
          <w:t>四、基金管理人对基金托管人的业务核查</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_Toc124325888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10</w:t>
        </w:r>
        <w:r w:rsidR="008434C4">
          <w:rPr>
            <w:rStyle w:val="af5"/>
            <w:rFonts w:ascii="彩虹粗仿宋" w:eastAsia="彩虹粗仿宋" w:hint="eastAsia"/>
            <w:noProof/>
            <w:color w:val="000000" w:themeColor="text1"/>
            <w:sz w:val="28"/>
            <w:szCs w:val="32"/>
          </w:rPr>
          <w:fldChar w:fldCharType="end"/>
        </w:r>
      </w:hyperlink>
    </w:p>
    <w:p w14:paraId="3647478A" w14:textId="3B48CBB4" w:rsidR="00A818E6" w:rsidRDefault="004E12B0">
      <w:pPr>
        <w:pStyle w:val="23"/>
        <w:ind w:leftChars="0" w:left="0"/>
        <w:rPr>
          <w:rStyle w:val="af5"/>
          <w:rFonts w:ascii="彩虹粗仿宋" w:eastAsia="彩虹粗仿宋"/>
          <w:noProof/>
          <w:color w:val="000000" w:themeColor="text1"/>
          <w:sz w:val="28"/>
          <w:szCs w:val="32"/>
        </w:rPr>
      </w:pPr>
      <w:hyperlink w:anchor="_Toc124325889" w:history="1">
        <w:r w:rsidR="008434C4">
          <w:rPr>
            <w:rStyle w:val="af5"/>
            <w:rFonts w:ascii="彩虹粗仿宋" w:eastAsia="彩虹粗仿宋" w:hAnsi="宋体" w:hint="eastAsia"/>
            <w:noProof/>
            <w:color w:val="000000" w:themeColor="text1"/>
            <w:sz w:val="28"/>
            <w:szCs w:val="32"/>
          </w:rPr>
          <w:t>五、基金财产的保管</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_Toc124325889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11</w:t>
        </w:r>
        <w:r w:rsidR="008434C4">
          <w:rPr>
            <w:rStyle w:val="af5"/>
            <w:rFonts w:ascii="彩虹粗仿宋" w:eastAsia="彩虹粗仿宋" w:hint="eastAsia"/>
            <w:noProof/>
            <w:color w:val="000000" w:themeColor="text1"/>
            <w:sz w:val="28"/>
            <w:szCs w:val="32"/>
          </w:rPr>
          <w:fldChar w:fldCharType="end"/>
        </w:r>
      </w:hyperlink>
    </w:p>
    <w:p w14:paraId="67905824" w14:textId="4E36C383" w:rsidR="00A818E6" w:rsidRDefault="004E12B0">
      <w:pPr>
        <w:pStyle w:val="23"/>
        <w:ind w:leftChars="0" w:left="0"/>
        <w:rPr>
          <w:rStyle w:val="af5"/>
          <w:rFonts w:ascii="彩虹粗仿宋" w:eastAsia="彩虹粗仿宋"/>
          <w:noProof/>
          <w:color w:val="000000" w:themeColor="text1"/>
          <w:sz w:val="28"/>
          <w:szCs w:val="32"/>
        </w:rPr>
      </w:pPr>
      <w:hyperlink w:anchor="_Toc124325890" w:history="1">
        <w:r w:rsidR="008434C4">
          <w:rPr>
            <w:rStyle w:val="af5"/>
            <w:rFonts w:ascii="彩虹粗仿宋" w:eastAsia="彩虹粗仿宋" w:hAnsi="宋体" w:hint="eastAsia"/>
            <w:noProof/>
            <w:color w:val="000000" w:themeColor="text1"/>
            <w:sz w:val="28"/>
            <w:szCs w:val="32"/>
          </w:rPr>
          <w:t>六、指令的发送、确认及执行</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_Toc124325890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14</w:t>
        </w:r>
        <w:r w:rsidR="008434C4">
          <w:rPr>
            <w:rStyle w:val="af5"/>
            <w:rFonts w:ascii="彩虹粗仿宋" w:eastAsia="彩虹粗仿宋" w:hint="eastAsia"/>
            <w:noProof/>
            <w:color w:val="000000" w:themeColor="text1"/>
            <w:sz w:val="28"/>
            <w:szCs w:val="32"/>
          </w:rPr>
          <w:fldChar w:fldCharType="end"/>
        </w:r>
      </w:hyperlink>
    </w:p>
    <w:p w14:paraId="27924335" w14:textId="64B94232" w:rsidR="00A818E6" w:rsidRDefault="004E12B0">
      <w:pPr>
        <w:pStyle w:val="23"/>
        <w:ind w:leftChars="0" w:left="0"/>
        <w:rPr>
          <w:rStyle w:val="af5"/>
          <w:rFonts w:ascii="彩虹粗仿宋" w:eastAsia="彩虹粗仿宋"/>
          <w:noProof/>
          <w:color w:val="000000" w:themeColor="text1"/>
          <w:sz w:val="28"/>
          <w:szCs w:val="32"/>
        </w:rPr>
      </w:pPr>
      <w:hyperlink w:anchor="_Toc124325891" w:history="1">
        <w:r w:rsidR="008434C4">
          <w:rPr>
            <w:rStyle w:val="af5"/>
            <w:rFonts w:ascii="彩虹粗仿宋" w:eastAsia="彩虹粗仿宋" w:hAnsi="宋体" w:hint="eastAsia"/>
            <w:noProof/>
            <w:color w:val="000000" w:themeColor="text1"/>
            <w:sz w:val="28"/>
            <w:szCs w:val="32"/>
          </w:rPr>
          <w:t>七、交易及清算交收安排</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_Toc124325891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16</w:t>
        </w:r>
        <w:r w:rsidR="008434C4">
          <w:rPr>
            <w:rStyle w:val="af5"/>
            <w:rFonts w:ascii="彩虹粗仿宋" w:eastAsia="彩虹粗仿宋" w:hint="eastAsia"/>
            <w:noProof/>
            <w:color w:val="000000" w:themeColor="text1"/>
            <w:sz w:val="28"/>
            <w:szCs w:val="32"/>
          </w:rPr>
          <w:fldChar w:fldCharType="end"/>
        </w:r>
      </w:hyperlink>
    </w:p>
    <w:p w14:paraId="312911D6" w14:textId="28F87265" w:rsidR="00A818E6" w:rsidRDefault="004E12B0">
      <w:pPr>
        <w:pStyle w:val="23"/>
        <w:ind w:leftChars="0" w:left="0"/>
        <w:rPr>
          <w:rStyle w:val="af5"/>
          <w:rFonts w:ascii="彩虹粗仿宋" w:eastAsia="彩虹粗仿宋"/>
          <w:noProof/>
          <w:color w:val="000000" w:themeColor="text1"/>
          <w:sz w:val="28"/>
          <w:szCs w:val="32"/>
        </w:rPr>
      </w:pPr>
      <w:hyperlink w:anchor="_Toc124325892" w:history="1">
        <w:r w:rsidR="008434C4">
          <w:rPr>
            <w:rStyle w:val="af5"/>
            <w:rFonts w:ascii="彩虹粗仿宋" w:eastAsia="彩虹粗仿宋" w:hAnsi="宋体" w:hint="eastAsia"/>
            <w:noProof/>
            <w:color w:val="000000" w:themeColor="text1"/>
            <w:sz w:val="28"/>
            <w:szCs w:val="32"/>
          </w:rPr>
          <w:t>八、基金资产净值计算和会计核算</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_Toc124325892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21</w:t>
        </w:r>
        <w:r w:rsidR="008434C4">
          <w:rPr>
            <w:rStyle w:val="af5"/>
            <w:rFonts w:ascii="彩虹粗仿宋" w:eastAsia="彩虹粗仿宋" w:hint="eastAsia"/>
            <w:noProof/>
            <w:color w:val="000000" w:themeColor="text1"/>
            <w:sz w:val="28"/>
            <w:szCs w:val="32"/>
          </w:rPr>
          <w:fldChar w:fldCharType="end"/>
        </w:r>
      </w:hyperlink>
    </w:p>
    <w:p w14:paraId="0F9E0075" w14:textId="13071530" w:rsidR="00A818E6" w:rsidRDefault="004E12B0">
      <w:pPr>
        <w:pStyle w:val="23"/>
        <w:ind w:leftChars="0" w:left="0"/>
        <w:rPr>
          <w:rStyle w:val="af5"/>
          <w:rFonts w:ascii="彩虹粗仿宋" w:eastAsia="彩虹粗仿宋"/>
          <w:noProof/>
          <w:color w:val="000000" w:themeColor="text1"/>
          <w:sz w:val="28"/>
          <w:szCs w:val="32"/>
        </w:rPr>
      </w:pPr>
      <w:hyperlink w:anchor="_Toc124325893" w:history="1">
        <w:r w:rsidR="008434C4">
          <w:rPr>
            <w:rStyle w:val="af5"/>
            <w:rFonts w:ascii="彩虹粗仿宋" w:eastAsia="彩虹粗仿宋" w:hAnsi="宋体" w:hint="eastAsia"/>
            <w:noProof/>
            <w:color w:val="000000" w:themeColor="text1"/>
            <w:sz w:val="28"/>
            <w:szCs w:val="32"/>
          </w:rPr>
          <w:t>九、基金收益分配</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_Toc124325893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26</w:t>
        </w:r>
        <w:r w:rsidR="008434C4">
          <w:rPr>
            <w:rStyle w:val="af5"/>
            <w:rFonts w:ascii="彩虹粗仿宋" w:eastAsia="彩虹粗仿宋" w:hint="eastAsia"/>
            <w:noProof/>
            <w:color w:val="000000" w:themeColor="text1"/>
            <w:sz w:val="28"/>
            <w:szCs w:val="32"/>
          </w:rPr>
          <w:fldChar w:fldCharType="end"/>
        </w:r>
      </w:hyperlink>
    </w:p>
    <w:p w14:paraId="3B844772" w14:textId="2A175C4B" w:rsidR="00A818E6" w:rsidRDefault="004E12B0">
      <w:pPr>
        <w:pStyle w:val="23"/>
        <w:ind w:leftChars="0" w:left="0"/>
        <w:rPr>
          <w:rStyle w:val="af5"/>
          <w:rFonts w:ascii="彩虹粗仿宋" w:eastAsia="彩虹粗仿宋"/>
          <w:noProof/>
          <w:color w:val="000000" w:themeColor="text1"/>
          <w:sz w:val="28"/>
          <w:szCs w:val="32"/>
        </w:rPr>
      </w:pPr>
      <w:hyperlink w:anchor="_Toc124325894" w:history="1">
        <w:r w:rsidR="008434C4">
          <w:rPr>
            <w:rStyle w:val="af5"/>
            <w:rFonts w:ascii="彩虹粗仿宋" w:eastAsia="彩虹粗仿宋" w:hAnsi="宋体" w:hint="eastAsia"/>
            <w:noProof/>
            <w:color w:val="000000" w:themeColor="text1"/>
            <w:sz w:val="28"/>
            <w:szCs w:val="32"/>
          </w:rPr>
          <w:t>十、基金信息披露</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_Toc124325894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27</w:t>
        </w:r>
        <w:r w:rsidR="008434C4">
          <w:rPr>
            <w:rStyle w:val="af5"/>
            <w:rFonts w:ascii="彩虹粗仿宋" w:eastAsia="彩虹粗仿宋" w:hint="eastAsia"/>
            <w:noProof/>
            <w:color w:val="000000" w:themeColor="text1"/>
            <w:sz w:val="28"/>
            <w:szCs w:val="32"/>
          </w:rPr>
          <w:fldChar w:fldCharType="end"/>
        </w:r>
      </w:hyperlink>
    </w:p>
    <w:p w14:paraId="5CB5AA11" w14:textId="299C5D8A" w:rsidR="00A818E6" w:rsidRDefault="004E12B0">
      <w:pPr>
        <w:pStyle w:val="23"/>
        <w:ind w:leftChars="0" w:left="0"/>
        <w:rPr>
          <w:rStyle w:val="af5"/>
          <w:rFonts w:ascii="彩虹粗仿宋" w:eastAsia="彩虹粗仿宋"/>
          <w:noProof/>
          <w:color w:val="000000" w:themeColor="text1"/>
          <w:sz w:val="28"/>
          <w:szCs w:val="32"/>
        </w:rPr>
      </w:pPr>
      <w:hyperlink w:anchor="_Toc124325895" w:history="1">
        <w:r w:rsidR="008434C4">
          <w:rPr>
            <w:rStyle w:val="af5"/>
            <w:rFonts w:ascii="彩虹粗仿宋" w:eastAsia="彩虹粗仿宋" w:hAnsi="宋体" w:hint="eastAsia"/>
            <w:noProof/>
            <w:color w:val="000000" w:themeColor="text1"/>
            <w:sz w:val="28"/>
            <w:szCs w:val="32"/>
          </w:rPr>
          <w:t>十一、基金费用</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_Toc124325895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29</w:t>
        </w:r>
        <w:r w:rsidR="008434C4">
          <w:rPr>
            <w:rStyle w:val="af5"/>
            <w:rFonts w:ascii="彩虹粗仿宋" w:eastAsia="彩虹粗仿宋" w:hint="eastAsia"/>
            <w:noProof/>
            <w:color w:val="000000" w:themeColor="text1"/>
            <w:sz w:val="28"/>
            <w:szCs w:val="32"/>
          </w:rPr>
          <w:fldChar w:fldCharType="end"/>
        </w:r>
      </w:hyperlink>
    </w:p>
    <w:p w14:paraId="404A3D38" w14:textId="7F54EC36" w:rsidR="00A818E6" w:rsidRDefault="004E12B0">
      <w:pPr>
        <w:pStyle w:val="23"/>
        <w:ind w:leftChars="0" w:left="0"/>
        <w:rPr>
          <w:rStyle w:val="af5"/>
          <w:rFonts w:ascii="彩虹粗仿宋" w:eastAsia="彩虹粗仿宋"/>
          <w:noProof/>
          <w:color w:val="000000" w:themeColor="text1"/>
          <w:sz w:val="28"/>
          <w:szCs w:val="32"/>
        </w:rPr>
      </w:pPr>
      <w:hyperlink w:anchor="_Toc124325896" w:history="1">
        <w:r w:rsidR="008434C4">
          <w:rPr>
            <w:rStyle w:val="af5"/>
            <w:rFonts w:ascii="彩虹粗仿宋" w:eastAsia="彩虹粗仿宋" w:hAnsi="宋体" w:hint="eastAsia"/>
            <w:noProof/>
            <w:color w:val="000000" w:themeColor="text1"/>
            <w:sz w:val="28"/>
            <w:szCs w:val="32"/>
          </w:rPr>
          <w:t>十二、基金份额持有人名册的保管</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_Toc124325896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32</w:t>
        </w:r>
        <w:r w:rsidR="008434C4">
          <w:rPr>
            <w:rStyle w:val="af5"/>
            <w:rFonts w:ascii="彩虹粗仿宋" w:eastAsia="彩虹粗仿宋" w:hint="eastAsia"/>
            <w:noProof/>
            <w:color w:val="000000" w:themeColor="text1"/>
            <w:sz w:val="28"/>
            <w:szCs w:val="32"/>
          </w:rPr>
          <w:fldChar w:fldCharType="end"/>
        </w:r>
      </w:hyperlink>
    </w:p>
    <w:p w14:paraId="7B1B6E86" w14:textId="0601D4A6" w:rsidR="00A818E6" w:rsidRDefault="004E12B0">
      <w:pPr>
        <w:pStyle w:val="23"/>
        <w:ind w:leftChars="0" w:left="0"/>
        <w:rPr>
          <w:rStyle w:val="af5"/>
          <w:rFonts w:ascii="彩虹粗仿宋" w:eastAsia="彩虹粗仿宋"/>
          <w:noProof/>
          <w:color w:val="000000" w:themeColor="text1"/>
          <w:sz w:val="28"/>
          <w:szCs w:val="32"/>
        </w:rPr>
      </w:pPr>
      <w:hyperlink w:anchor="_Toc124325897" w:history="1">
        <w:r w:rsidR="008434C4">
          <w:rPr>
            <w:rStyle w:val="af5"/>
            <w:rFonts w:ascii="彩虹粗仿宋" w:eastAsia="彩虹粗仿宋" w:hAnsi="宋体" w:hint="eastAsia"/>
            <w:noProof/>
            <w:color w:val="000000" w:themeColor="text1"/>
            <w:sz w:val="28"/>
            <w:szCs w:val="32"/>
          </w:rPr>
          <w:t>十三、基金有关文件档案的保存</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_Toc124325897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32</w:t>
        </w:r>
        <w:r w:rsidR="008434C4">
          <w:rPr>
            <w:rStyle w:val="af5"/>
            <w:rFonts w:ascii="彩虹粗仿宋" w:eastAsia="彩虹粗仿宋" w:hint="eastAsia"/>
            <w:noProof/>
            <w:color w:val="000000" w:themeColor="text1"/>
            <w:sz w:val="28"/>
            <w:szCs w:val="32"/>
          </w:rPr>
          <w:fldChar w:fldCharType="end"/>
        </w:r>
      </w:hyperlink>
    </w:p>
    <w:p w14:paraId="666BFB12" w14:textId="09D57963" w:rsidR="00A818E6" w:rsidRDefault="004E12B0">
      <w:pPr>
        <w:pStyle w:val="23"/>
        <w:ind w:leftChars="0" w:left="0"/>
        <w:rPr>
          <w:rStyle w:val="af5"/>
          <w:rFonts w:ascii="彩虹粗仿宋" w:eastAsia="彩虹粗仿宋"/>
          <w:noProof/>
          <w:color w:val="000000" w:themeColor="text1"/>
          <w:sz w:val="28"/>
          <w:szCs w:val="32"/>
        </w:rPr>
      </w:pPr>
      <w:hyperlink w:anchor="_Toc124325898" w:history="1">
        <w:r w:rsidR="008434C4">
          <w:rPr>
            <w:rStyle w:val="af5"/>
            <w:rFonts w:ascii="彩虹粗仿宋" w:eastAsia="彩虹粗仿宋" w:hAnsi="宋体" w:hint="eastAsia"/>
            <w:noProof/>
            <w:color w:val="000000" w:themeColor="text1"/>
            <w:sz w:val="28"/>
            <w:szCs w:val="32"/>
          </w:rPr>
          <w:t>十四、基金管理人和基金托管人的更换</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_Toc124325898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32</w:t>
        </w:r>
        <w:r w:rsidR="008434C4">
          <w:rPr>
            <w:rStyle w:val="af5"/>
            <w:rFonts w:ascii="彩虹粗仿宋" w:eastAsia="彩虹粗仿宋" w:hint="eastAsia"/>
            <w:noProof/>
            <w:color w:val="000000" w:themeColor="text1"/>
            <w:sz w:val="28"/>
            <w:szCs w:val="32"/>
          </w:rPr>
          <w:fldChar w:fldCharType="end"/>
        </w:r>
      </w:hyperlink>
    </w:p>
    <w:p w14:paraId="578BCD0F" w14:textId="3C882DF9" w:rsidR="00A818E6" w:rsidRDefault="004E12B0">
      <w:pPr>
        <w:pStyle w:val="23"/>
        <w:ind w:leftChars="0" w:left="0"/>
        <w:rPr>
          <w:rStyle w:val="af5"/>
          <w:rFonts w:ascii="彩虹粗仿宋" w:eastAsia="彩虹粗仿宋"/>
          <w:noProof/>
          <w:color w:val="000000" w:themeColor="text1"/>
          <w:sz w:val="28"/>
          <w:szCs w:val="32"/>
        </w:rPr>
      </w:pPr>
      <w:hyperlink w:anchor="_Toc124325899" w:history="1">
        <w:r w:rsidR="008434C4">
          <w:rPr>
            <w:rStyle w:val="af5"/>
            <w:rFonts w:ascii="彩虹粗仿宋" w:eastAsia="彩虹粗仿宋" w:hAnsi="宋体" w:hint="eastAsia"/>
            <w:noProof/>
            <w:color w:val="000000" w:themeColor="text1"/>
            <w:sz w:val="28"/>
            <w:szCs w:val="32"/>
          </w:rPr>
          <w:t>十五、禁止行为</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_Toc124325899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34</w:t>
        </w:r>
        <w:r w:rsidR="008434C4">
          <w:rPr>
            <w:rStyle w:val="af5"/>
            <w:rFonts w:ascii="彩虹粗仿宋" w:eastAsia="彩虹粗仿宋" w:hint="eastAsia"/>
            <w:noProof/>
            <w:color w:val="000000" w:themeColor="text1"/>
            <w:sz w:val="28"/>
            <w:szCs w:val="32"/>
          </w:rPr>
          <w:fldChar w:fldCharType="end"/>
        </w:r>
      </w:hyperlink>
    </w:p>
    <w:p w14:paraId="2946AB64" w14:textId="5956455F" w:rsidR="00A818E6" w:rsidRDefault="004E12B0">
      <w:pPr>
        <w:pStyle w:val="23"/>
        <w:ind w:leftChars="0" w:left="0"/>
        <w:rPr>
          <w:rStyle w:val="af5"/>
          <w:rFonts w:ascii="彩虹粗仿宋" w:eastAsia="彩虹粗仿宋"/>
          <w:noProof/>
          <w:color w:val="000000" w:themeColor="text1"/>
          <w:sz w:val="28"/>
          <w:szCs w:val="32"/>
        </w:rPr>
      </w:pPr>
      <w:hyperlink w:anchor="_Toc124325900" w:history="1">
        <w:r w:rsidR="008434C4">
          <w:rPr>
            <w:rStyle w:val="af5"/>
            <w:rFonts w:ascii="彩虹粗仿宋" w:eastAsia="彩虹粗仿宋" w:hAnsi="宋体" w:hint="eastAsia"/>
            <w:noProof/>
            <w:color w:val="000000" w:themeColor="text1"/>
            <w:sz w:val="28"/>
            <w:szCs w:val="32"/>
          </w:rPr>
          <w:t>十六、托管协议的变更、终止与基金财产的清算</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_Toc124325900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35</w:t>
        </w:r>
        <w:r w:rsidR="008434C4">
          <w:rPr>
            <w:rStyle w:val="af5"/>
            <w:rFonts w:ascii="彩虹粗仿宋" w:eastAsia="彩虹粗仿宋" w:hint="eastAsia"/>
            <w:noProof/>
            <w:color w:val="000000" w:themeColor="text1"/>
            <w:sz w:val="28"/>
            <w:szCs w:val="32"/>
          </w:rPr>
          <w:fldChar w:fldCharType="end"/>
        </w:r>
      </w:hyperlink>
    </w:p>
    <w:p w14:paraId="1729E73C" w14:textId="76662CA3" w:rsidR="00A818E6" w:rsidRDefault="004E12B0">
      <w:pPr>
        <w:pStyle w:val="23"/>
        <w:ind w:leftChars="0" w:left="0"/>
        <w:rPr>
          <w:rStyle w:val="af5"/>
          <w:rFonts w:ascii="彩虹粗仿宋" w:eastAsia="彩虹粗仿宋"/>
          <w:noProof/>
          <w:color w:val="000000" w:themeColor="text1"/>
          <w:sz w:val="28"/>
          <w:szCs w:val="32"/>
        </w:rPr>
      </w:pPr>
      <w:hyperlink w:anchor="_Toc124325901" w:history="1">
        <w:r w:rsidR="008434C4">
          <w:rPr>
            <w:rStyle w:val="af5"/>
            <w:rFonts w:ascii="彩虹粗仿宋" w:eastAsia="彩虹粗仿宋" w:hAnsi="宋体" w:hint="eastAsia"/>
            <w:noProof/>
            <w:color w:val="000000" w:themeColor="text1"/>
            <w:sz w:val="28"/>
            <w:szCs w:val="32"/>
          </w:rPr>
          <w:t>十七、违约责任</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_Toc124325901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37</w:t>
        </w:r>
        <w:r w:rsidR="008434C4">
          <w:rPr>
            <w:rStyle w:val="af5"/>
            <w:rFonts w:ascii="彩虹粗仿宋" w:eastAsia="彩虹粗仿宋" w:hint="eastAsia"/>
            <w:noProof/>
            <w:color w:val="000000" w:themeColor="text1"/>
            <w:sz w:val="28"/>
            <w:szCs w:val="32"/>
          </w:rPr>
          <w:fldChar w:fldCharType="end"/>
        </w:r>
      </w:hyperlink>
    </w:p>
    <w:p w14:paraId="3D989C59" w14:textId="083BCC0B" w:rsidR="00A818E6" w:rsidRDefault="004E12B0">
      <w:pPr>
        <w:pStyle w:val="23"/>
        <w:ind w:leftChars="0" w:left="0"/>
        <w:rPr>
          <w:rStyle w:val="af5"/>
          <w:rFonts w:ascii="彩虹粗仿宋" w:eastAsia="彩虹粗仿宋"/>
          <w:noProof/>
          <w:color w:val="000000" w:themeColor="text1"/>
          <w:sz w:val="28"/>
          <w:szCs w:val="32"/>
        </w:rPr>
      </w:pPr>
      <w:hyperlink w:anchor="_Toc124325902" w:history="1">
        <w:r w:rsidR="008434C4">
          <w:rPr>
            <w:rStyle w:val="af5"/>
            <w:rFonts w:ascii="彩虹粗仿宋" w:eastAsia="彩虹粗仿宋" w:hAnsi="宋体" w:hint="eastAsia"/>
            <w:noProof/>
            <w:color w:val="000000" w:themeColor="text1"/>
            <w:sz w:val="28"/>
            <w:szCs w:val="32"/>
          </w:rPr>
          <w:t>十八、争议解决方式</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_Toc124325902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38</w:t>
        </w:r>
        <w:r w:rsidR="008434C4">
          <w:rPr>
            <w:rStyle w:val="af5"/>
            <w:rFonts w:ascii="彩虹粗仿宋" w:eastAsia="彩虹粗仿宋" w:hint="eastAsia"/>
            <w:noProof/>
            <w:color w:val="000000" w:themeColor="text1"/>
            <w:sz w:val="28"/>
            <w:szCs w:val="32"/>
          </w:rPr>
          <w:fldChar w:fldCharType="end"/>
        </w:r>
      </w:hyperlink>
    </w:p>
    <w:p w14:paraId="22B2DAF9" w14:textId="6E9E81F7" w:rsidR="00A818E6" w:rsidRDefault="004E12B0">
      <w:pPr>
        <w:pStyle w:val="23"/>
        <w:ind w:leftChars="0" w:left="0"/>
        <w:rPr>
          <w:rStyle w:val="af5"/>
          <w:rFonts w:ascii="彩虹粗仿宋" w:eastAsia="彩虹粗仿宋"/>
          <w:noProof/>
          <w:color w:val="000000" w:themeColor="text1"/>
          <w:sz w:val="28"/>
          <w:szCs w:val="32"/>
        </w:rPr>
      </w:pPr>
      <w:hyperlink w:anchor="_Toc124325903" w:history="1">
        <w:r w:rsidR="008434C4">
          <w:rPr>
            <w:rStyle w:val="af5"/>
            <w:rFonts w:ascii="彩虹粗仿宋" w:eastAsia="彩虹粗仿宋" w:hAnsi="宋体" w:hint="eastAsia"/>
            <w:noProof/>
            <w:color w:val="000000" w:themeColor="text1"/>
            <w:sz w:val="28"/>
            <w:szCs w:val="32"/>
          </w:rPr>
          <w:t>十九、托管协议的效力</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_Toc124325903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38</w:t>
        </w:r>
        <w:r w:rsidR="008434C4">
          <w:rPr>
            <w:rStyle w:val="af5"/>
            <w:rFonts w:ascii="彩虹粗仿宋" w:eastAsia="彩虹粗仿宋" w:hint="eastAsia"/>
            <w:noProof/>
            <w:color w:val="000000" w:themeColor="text1"/>
            <w:sz w:val="28"/>
            <w:szCs w:val="32"/>
          </w:rPr>
          <w:fldChar w:fldCharType="end"/>
        </w:r>
      </w:hyperlink>
    </w:p>
    <w:p w14:paraId="428757BA" w14:textId="6EA4FAB0" w:rsidR="00A818E6" w:rsidRDefault="004E12B0">
      <w:pPr>
        <w:pStyle w:val="23"/>
        <w:ind w:leftChars="0" w:left="0"/>
        <w:rPr>
          <w:rStyle w:val="af5"/>
          <w:rFonts w:ascii="彩虹粗仿宋" w:eastAsia="彩虹粗仿宋"/>
          <w:noProof/>
          <w:color w:val="000000" w:themeColor="text1"/>
          <w:sz w:val="28"/>
          <w:szCs w:val="32"/>
        </w:rPr>
      </w:pPr>
      <w:hyperlink w:anchor="_Toc124325904" w:history="1">
        <w:r w:rsidR="008434C4">
          <w:rPr>
            <w:rStyle w:val="af5"/>
            <w:rFonts w:ascii="彩虹粗仿宋" w:eastAsia="彩虹粗仿宋" w:hAnsi="宋体" w:hint="eastAsia"/>
            <w:noProof/>
            <w:color w:val="000000" w:themeColor="text1"/>
            <w:sz w:val="28"/>
            <w:szCs w:val="32"/>
          </w:rPr>
          <w:t>二十、其他事项</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_Toc124325904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39</w:t>
        </w:r>
        <w:r w:rsidR="008434C4">
          <w:rPr>
            <w:rStyle w:val="af5"/>
            <w:rFonts w:ascii="彩虹粗仿宋" w:eastAsia="彩虹粗仿宋" w:hint="eastAsia"/>
            <w:noProof/>
            <w:color w:val="000000" w:themeColor="text1"/>
            <w:sz w:val="28"/>
            <w:szCs w:val="32"/>
          </w:rPr>
          <w:fldChar w:fldCharType="end"/>
        </w:r>
      </w:hyperlink>
    </w:p>
    <w:p w14:paraId="5D3D492B" w14:textId="1C5CDF18" w:rsidR="00A818E6" w:rsidRDefault="004E12B0">
      <w:pPr>
        <w:pStyle w:val="23"/>
        <w:ind w:leftChars="0" w:left="0"/>
        <w:rPr>
          <w:rStyle w:val="af5"/>
          <w:rFonts w:ascii="彩虹粗仿宋" w:eastAsia="彩虹粗仿宋"/>
          <w:noProof/>
          <w:color w:val="000000" w:themeColor="text1"/>
          <w:sz w:val="28"/>
          <w:szCs w:val="32"/>
        </w:rPr>
      </w:pPr>
      <w:hyperlink w:anchor="_Toc124325905" w:history="1">
        <w:r w:rsidR="008434C4">
          <w:rPr>
            <w:rStyle w:val="af5"/>
            <w:rFonts w:ascii="彩虹粗仿宋" w:eastAsia="彩虹粗仿宋" w:hAnsi="宋体" w:hint="eastAsia"/>
            <w:noProof/>
            <w:color w:val="000000" w:themeColor="text1"/>
            <w:sz w:val="28"/>
            <w:szCs w:val="32"/>
          </w:rPr>
          <w:t>二十一、托管协议的签订</w:t>
        </w:r>
        <w:r w:rsidR="008434C4">
          <w:rPr>
            <w:rStyle w:val="af5"/>
            <w:rFonts w:ascii="彩虹粗仿宋" w:eastAsia="彩虹粗仿宋" w:hint="eastAsia"/>
            <w:noProof/>
            <w:color w:val="000000" w:themeColor="text1"/>
            <w:sz w:val="28"/>
            <w:szCs w:val="32"/>
          </w:rPr>
          <w:tab/>
        </w:r>
        <w:r w:rsidR="008434C4">
          <w:rPr>
            <w:rStyle w:val="af5"/>
            <w:rFonts w:ascii="彩虹粗仿宋" w:eastAsia="彩虹粗仿宋" w:hint="eastAsia"/>
            <w:noProof/>
            <w:color w:val="000000" w:themeColor="text1"/>
            <w:sz w:val="28"/>
            <w:szCs w:val="32"/>
          </w:rPr>
          <w:fldChar w:fldCharType="begin"/>
        </w:r>
        <w:r w:rsidR="008434C4">
          <w:rPr>
            <w:rStyle w:val="af5"/>
            <w:rFonts w:ascii="彩虹粗仿宋" w:eastAsia="彩虹粗仿宋" w:hint="eastAsia"/>
            <w:noProof/>
            <w:color w:val="000000" w:themeColor="text1"/>
            <w:sz w:val="28"/>
            <w:szCs w:val="32"/>
          </w:rPr>
          <w:instrText xml:space="preserve"> PAGEREF _Toc124325905 \h </w:instrText>
        </w:r>
        <w:r w:rsidR="008434C4">
          <w:rPr>
            <w:rStyle w:val="af5"/>
            <w:rFonts w:ascii="彩虹粗仿宋" w:eastAsia="彩虹粗仿宋" w:hint="eastAsia"/>
            <w:noProof/>
            <w:color w:val="000000" w:themeColor="text1"/>
            <w:sz w:val="28"/>
            <w:szCs w:val="32"/>
          </w:rPr>
        </w:r>
        <w:r w:rsidR="008434C4">
          <w:rPr>
            <w:rStyle w:val="af5"/>
            <w:rFonts w:ascii="彩虹粗仿宋" w:eastAsia="彩虹粗仿宋" w:hint="eastAsia"/>
            <w:noProof/>
            <w:color w:val="000000" w:themeColor="text1"/>
            <w:sz w:val="28"/>
            <w:szCs w:val="32"/>
          </w:rPr>
          <w:fldChar w:fldCharType="separate"/>
        </w:r>
        <w:r w:rsidR="00194BFB">
          <w:rPr>
            <w:rStyle w:val="af5"/>
            <w:rFonts w:ascii="彩虹粗仿宋" w:eastAsia="彩虹粗仿宋"/>
            <w:noProof/>
            <w:color w:val="000000" w:themeColor="text1"/>
            <w:sz w:val="28"/>
            <w:szCs w:val="32"/>
          </w:rPr>
          <w:t>39</w:t>
        </w:r>
        <w:r w:rsidR="008434C4">
          <w:rPr>
            <w:rStyle w:val="af5"/>
            <w:rFonts w:ascii="彩虹粗仿宋" w:eastAsia="彩虹粗仿宋" w:hint="eastAsia"/>
            <w:noProof/>
            <w:color w:val="000000" w:themeColor="text1"/>
            <w:sz w:val="28"/>
            <w:szCs w:val="32"/>
          </w:rPr>
          <w:fldChar w:fldCharType="end"/>
        </w:r>
      </w:hyperlink>
    </w:p>
    <w:p w14:paraId="132CE538" w14:textId="77777777" w:rsidR="00A818E6" w:rsidRDefault="008434C4">
      <w:pPr>
        <w:pStyle w:val="23"/>
        <w:ind w:leftChars="0" w:left="0"/>
        <w:rPr>
          <w:rFonts w:ascii="宋体" w:hAnsi="宋体"/>
          <w:color w:val="000000" w:themeColor="text1"/>
          <w:sz w:val="24"/>
        </w:rPr>
      </w:pPr>
      <w:r>
        <w:rPr>
          <w:rStyle w:val="af5"/>
          <w:rFonts w:ascii="彩虹粗仿宋" w:eastAsia="彩虹粗仿宋" w:hint="eastAsia"/>
          <w:color w:val="000000" w:themeColor="text1"/>
          <w:szCs w:val="32"/>
        </w:rPr>
        <w:lastRenderedPageBreak/>
        <w:fldChar w:fldCharType="end"/>
      </w:r>
    </w:p>
    <w:p w14:paraId="3C624CB7" w14:textId="001A45B6"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鉴于万家基金管理有限公司系一家依照中国法律合法成立并有效存续的有限责任公司，按照相关法律法规的规定具备担任基金管理人的资格和能力，拟募集发行万家消费启航混合型发起式证券投资基金；</w:t>
      </w:r>
    </w:p>
    <w:p w14:paraId="2225EB3D"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鉴于中国建设银行股份有限公司系一家依照中国法律合法成立并有效存续的银行，按照相关法律法规的规定具备担任基金托管人的资格和能力；</w:t>
      </w:r>
    </w:p>
    <w:p w14:paraId="23BE4613" w14:textId="58E0410B"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鉴于万家基金管理有限公司拟担任万家消费启航混合型发起式证券投资基金的基金管理人，中国建设银行股份有限公司拟担任万家消费启航混合型发起式证券投资基金的基金托管人；</w:t>
      </w:r>
    </w:p>
    <w:p w14:paraId="5593023F" w14:textId="2E2C1EDA"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为明确万家消费启航混合型发起式证券投资基金的基金管理人和基金托管人之间的权利义务关系，特制订本托管协议；</w:t>
      </w:r>
    </w:p>
    <w:p w14:paraId="03C9FF56" w14:textId="6DA84FE8"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除非另有约定，《万家消费启航混合型发起式证券投资基金基金合同》(以下简称“《基金合同》”)中定义的术语在用于本托管协议时应具有相同的含义；若有抵触应以《基金合同》为准，并依其条款解释。</w:t>
      </w:r>
    </w:p>
    <w:p w14:paraId="77552E8D"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若本基金实施侧袋机制的，侧袋机制实施期间的相关安排按照基金合同和招募说明书的规定执行。</w:t>
      </w:r>
    </w:p>
    <w:p w14:paraId="19E7CCCA" w14:textId="77777777" w:rsidR="00A818E6" w:rsidRDefault="00A818E6">
      <w:pPr>
        <w:rPr>
          <w:rFonts w:ascii="宋体" w:eastAsia="宋体" w:hAnsi="宋体"/>
          <w:color w:val="000000" w:themeColor="text1"/>
          <w:sz w:val="24"/>
          <w:lang w:val="en-GB"/>
        </w:rPr>
      </w:pPr>
    </w:p>
    <w:p w14:paraId="6CA814B5" w14:textId="77777777" w:rsidR="00A818E6" w:rsidRDefault="008434C4">
      <w:pPr>
        <w:pStyle w:val="2"/>
        <w:jc w:val="center"/>
        <w:rPr>
          <w:rFonts w:ascii="彩虹粗仿宋" w:eastAsia="彩虹粗仿宋"/>
          <w:color w:val="000000" w:themeColor="text1"/>
        </w:rPr>
      </w:pPr>
      <w:bookmarkStart w:id="0" w:name="_Toc124325885"/>
      <w:r>
        <w:rPr>
          <w:rFonts w:ascii="彩虹粗仿宋" w:eastAsia="彩虹粗仿宋" w:hint="eastAsia"/>
          <w:color w:val="000000" w:themeColor="text1"/>
        </w:rPr>
        <w:t>一、基金托管协议当事人</w:t>
      </w:r>
      <w:bookmarkEnd w:id="0"/>
    </w:p>
    <w:p w14:paraId="072F4DDB"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（一）基金管理人</w:t>
      </w:r>
    </w:p>
    <w:p w14:paraId="3CCA85D4"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名称：万家基金管理有限公司</w:t>
      </w:r>
    </w:p>
    <w:p w14:paraId="407CE37E"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注册地址：中国（上海）自由贸易试验区浦电路360号8层（名义楼层9层）</w:t>
      </w:r>
    </w:p>
    <w:p w14:paraId="12302B93"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邮政编码：</w:t>
      </w:r>
      <w:r>
        <w:rPr>
          <w:rFonts w:ascii="彩虹粗仿宋" w:eastAsia="彩虹粗仿宋" w:hAnsi="宋体" w:cs="Arial"/>
          <w:color w:val="000000" w:themeColor="text1"/>
          <w:kern w:val="0"/>
          <w:sz w:val="24"/>
          <w:szCs w:val="24"/>
        </w:rPr>
        <w:t>200122</w:t>
      </w:r>
    </w:p>
    <w:p w14:paraId="5D044EDD" w14:textId="38C6E49C" w:rsidR="00A818E6" w:rsidRDefault="00697059">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法定代表人：陈广益</w:t>
      </w:r>
    </w:p>
    <w:p w14:paraId="0952516D"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成立日期：2002年8月23日</w:t>
      </w:r>
    </w:p>
    <w:p w14:paraId="360A6D9C"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批准设立机关及批准设立文号：中国证监会证监基金字【2002】44号</w:t>
      </w:r>
    </w:p>
    <w:p w14:paraId="491BB730"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组织形式：有限责任公司</w:t>
      </w:r>
    </w:p>
    <w:p w14:paraId="474F8B26"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注册资本：叁亿元人民币</w:t>
      </w:r>
    </w:p>
    <w:p w14:paraId="5199FB0F"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存续期间：持续经营</w:t>
      </w:r>
    </w:p>
    <w:p w14:paraId="1B414884"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经营范围：基金募集；基金销售；资产管理和中国证监会许可的其他业务</w:t>
      </w:r>
    </w:p>
    <w:p w14:paraId="3287B02B"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（二）基金托管人</w:t>
      </w:r>
    </w:p>
    <w:p w14:paraId="1A7E2EA6"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名称：中国建设银行股份有限公司(简称：中国建设银行)</w:t>
      </w:r>
    </w:p>
    <w:p w14:paraId="75D065A7"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住所：北京市西城区金融大街25号</w:t>
      </w:r>
    </w:p>
    <w:p w14:paraId="56D89F38"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办公地址：北京市西城区闹市口大街1号院1号楼</w:t>
      </w:r>
    </w:p>
    <w:p w14:paraId="4F610262"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邮政编码：100033</w:t>
      </w:r>
    </w:p>
    <w:p w14:paraId="57A537AD"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法定代表人：张金良</w:t>
      </w:r>
    </w:p>
    <w:p w14:paraId="7855CC06"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成立日期：2004年09月17日</w:t>
      </w:r>
    </w:p>
    <w:p w14:paraId="056DA4FA"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基金托管业务批准文号：中国证监会证监基字[1998]12号</w:t>
      </w:r>
    </w:p>
    <w:p w14:paraId="5A5EC005"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组织形式：股份有限公司</w:t>
      </w:r>
    </w:p>
    <w:p w14:paraId="7FF9584E" w14:textId="4816A45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注册资本：贰仟陆佰壹拾陆亿零叁拾捌万壹仟伍佰元整</w:t>
      </w:r>
    </w:p>
    <w:p w14:paraId="1BBD9609"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存续期间：持续经营</w:t>
      </w:r>
    </w:p>
    <w:p w14:paraId="533187BF"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2E31983C" w14:textId="77777777" w:rsidR="00A818E6" w:rsidRDefault="008434C4">
      <w:pPr>
        <w:pStyle w:val="2"/>
        <w:jc w:val="center"/>
        <w:rPr>
          <w:rFonts w:ascii="彩虹粗仿宋" w:eastAsia="彩虹粗仿宋"/>
          <w:color w:val="000000" w:themeColor="text1"/>
        </w:rPr>
      </w:pPr>
      <w:bookmarkStart w:id="1" w:name="_Toc124325886"/>
      <w:r>
        <w:rPr>
          <w:rFonts w:ascii="彩虹粗仿宋" w:eastAsia="彩虹粗仿宋" w:hint="eastAsia"/>
          <w:color w:val="000000" w:themeColor="text1"/>
        </w:rPr>
        <w:t>二、基金托管协议的依据、目的和原则</w:t>
      </w:r>
      <w:bookmarkEnd w:id="1"/>
    </w:p>
    <w:p w14:paraId="3FA9F436"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（一）订立托管协议的依据</w:t>
      </w:r>
    </w:p>
    <w:p w14:paraId="760AA138"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本协议依据《中华人民共和国证券投资基金法》(以下简称“《基金法》”)等有关法律法规、《基金合同》及其他有关规定制订。</w:t>
      </w:r>
    </w:p>
    <w:p w14:paraId="10D7C6E0"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（二）订立托管协议的目的</w:t>
      </w:r>
    </w:p>
    <w:p w14:paraId="40F537A5"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14:paraId="1A649E98"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（三）订立托管协议的原则</w:t>
      </w:r>
    </w:p>
    <w:p w14:paraId="2124E50B"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基金管理人和基金托管人本着平等自愿、诚实信用、充分保护基金份额持有人合法权益的原则，经协商一致，签订本协议。</w:t>
      </w:r>
    </w:p>
    <w:p w14:paraId="1F7396D6" w14:textId="27AB7619"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 xml:space="preserve">（四）托管人免责声明 </w:t>
      </w:r>
    </w:p>
    <w:p w14:paraId="306E604B" w14:textId="77777777"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基金托管人开展托管业务，不得承担以下职责：</w:t>
      </w:r>
    </w:p>
    <w:p w14:paraId="1570DAD7" w14:textId="77777777"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1.承担基金财产的信用风险、市场风险等；</w:t>
      </w:r>
    </w:p>
    <w:p w14:paraId="2588296C" w14:textId="77777777"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2.为基金提供直接或间接、显性或隐性担保，包括承诺本金或保证收益；</w:t>
      </w:r>
    </w:p>
    <w:p w14:paraId="73A9DA5D" w14:textId="77777777"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3.为基金垫付资金、提供流动性支持或融资承诺等；</w:t>
      </w:r>
    </w:p>
    <w:p w14:paraId="562B2296" w14:textId="77777777"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4.参与投资者适当性管理；</w:t>
      </w:r>
    </w:p>
    <w:p w14:paraId="4FDAB79F" w14:textId="77777777"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5.保证投资项目及交易信息真实性；</w:t>
      </w:r>
    </w:p>
    <w:p w14:paraId="14C33484" w14:textId="77777777"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6.保证基金资金来源的合法合规性；</w:t>
      </w:r>
    </w:p>
    <w:p w14:paraId="1FC2790E" w14:textId="77777777"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7.对已划出托管账户以及处于基金托管人实际控制之外的资产承担保管责任；</w:t>
      </w:r>
    </w:p>
    <w:p w14:paraId="02AAE468" w14:textId="77777777"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8.参与基金管理人对基金的投资决策；</w:t>
      </w:r>
    </w:p>
    <w:p w14:paraId="710926D8" w14:textId="77777777"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lastRenderedPageBreak/>
        <w:t>9.违规代替基金管理人向其他机构或者个人进行基金信息披露或提供相关数据信息；</w:t>
      </w:r>
    </w:p>
    <w:p w14:paraId="07242E1A" w14:textId="77777777"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10.基金管理人未接受基金托管人的复核意见进行信息披露产生的相应责任；</w:t>
      </w:r>
    </w:p>
    <w:p w14:paraId="120948C8" w14:textId="77777777"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11.负责未兑付产品的资金追偿、财产保全、诉讼仲裁、债务重组和破产程序等，法律另有规定的除外；</w:t>
      </w:r>
    </w:p>
    <w:p w14:paraId="0939D004" w14:textId="77777777" w:rsidR="004D01F7" w:rsidRP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12.因不可抗力，以及非本机构履职错误或过失造成的托管资产损失；</w:t>
      </w:r>
    </w:p>
    <w:p w14:paraId="09EDD524" w14:textId="77777777" w:rsidR="004D01F7" w:rsidRDefault="004D01F7" w:rsidP="004D01F7">
      <w:pPr>
        <w:widowControl/>
        <w:adjustRightInd w:val="0"/>
        <w:snapToGrid w:val="0"/>
        <w:ind w:firstLineChars="200" w:firstLine="480"/>
        <w:rPr>
          <w:rFonts w:ascii="彩虹粗仿宋" w:eastAsia="彩虹粗仿宋" w:hAnsi="宋体" w:cs="Arial"/>
          <w:color w:val="000000" w:themeColor="text1"/>
          <w:kern w:val="0"/>
          <w:sz w:val="24"/>
          <w:szCs w:val="24"/>
        </w:rPr>
      </w:pPr>
      <w:r w:rsidRPr="004D01F7">
        <w:rPr>
          <w:rFonts w:ascii="彩虹粗仿宋" w:eastAsia="彩虹粗仿宋" w:hAnsi="宋体" w:cs="Arial" w:hint="eastAsia"/>
          <w:color w:val="000000" w:themeColor="text1"/>
          <w:kern w:val="0"/>
          <w:sz w:val="24"/>
          <w:szCs w:val="24"/>
        </w:rPr>
        <w:t>13.国务院金融监管部门规定的不属于基金托管人托管业务范围的其他职责。</w:t>
      </w:r>
    </w:p>
    <w:p w14:paraId="04167596" w14:textId="77777777" w:rsidR="00A818E6" w:rsidRDefault="00A818E6">
      <w:pPr>
        <w:rPr>
          <w:rFonts w:ascii="宋体" w:eastAsia="宋体" w:hAnsi="宋体"/>
          <w:color w:val="000000" w:themeColor="text1"/>
          <w:sz w:val="24"/>
        </w:rPr>
      </w:pPr>
    </w:p>
    <w:p w14:paraId="6CA9B51C" w14:textId="77777777" w:rsidR="00A818E6" w:rsidRDefault="008434C4">
      <w:pPr>
        <w:pStyle w:val="2"/>
        <w:jc w:val="center"/>
        <w:rPr>
          <w:rFonts w:ascii="彩虹粗仿宋" w:eastAsia="彩虹粗仿宋"/>
          <w:color w:val="000000" w:themeColor="text1"/>
        </w:rPr>
      </w:pPr>
      <w:bookmarkStart w:id="2" w:name="_Toc124325887"/>
      <w:r>
        <w:rPr>
          <w:rFonts w:ascii="彩虹粗仿宋" w:eastAsia="彩虹粗仿宋" w:hint="eastAsia"/>
          <w:color w:val="000000" w:themeColor="text1"/>
        </w:rPr>
        <w:t>三、基金托管人对基金管理人的业务监督和核查</w:t>
      </w:r>
      <w:bookmarkEnd w:id="2"/>
    </w:p>
    <w:p w14:paraId="4595E729"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基金托管人根据有关法律法规的规定及《基金合同》的约定，对基金投资范围、投资对象进行监督。《基金合同》明确约定基金投资风格或证券选择标准的，基金管理人应按照基金托管人要求的格式，将拟投资的标的证券库提供给基金托管人，基金管理人可以根据实际情况的变化，对</w:t>
      </w:r>
      <w:r>
        <w:rPr>
          <w:rFonts w:ascii="彩虹粗仿宋" w:eastAsia="彩虹粗仿宋" w:hAnsi="宋体" w:cs="Arial" w:hint="eastAsia"/>
          <w:color w:val="000000" w:themeColor="text1"/>
          <w:sz w:val="24"/>
        </w:rPr>
        <w:t>标的证券库</w:t>
      </w:r>
      <w:r>
        <w:rPr>
          <w:rFonts w:ascii="彩虹粗仿宋" w:eastAsia="彩虹粗仿宋" w:hAnsi="宋体" w:cs="Arial" w:hint="eastAsia"/>
          <w:color w:val="000000" w:themeColor="text1"/>
          <w:kern w:val="0"/>
          <w:sz w:val="24"/>
          <w:szCs w:val="24"/>
        </w:rPr>
        <w:t>予以更新和调整并及时通知基金托管人。基金托管人根据上述投资范围对基金实际投资是否符合《基金合同》关于证券选择标准的约定进行监督。</w:t>
      </w:r>
    </w:p>
    <w:p w14:paraId="22D1F0A1" w14:textId="29BF0D5A"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的主要投资范围为具有良好流动性的金融工具，包括国内依法发行上市的股票（包括主板、创业板以及其他中国证监会允许上市的股票、存托凭证）、港股通标的股票、股指期货、国债期货、股票期权以及债券（包括国债、央行票据、地方政府债、金融债、企业债、公司债、证券公司短期公司债、政府支持机构债、次级债、中期票据、短期融资券、超短期融资券、可转换债券（含可分离交易可转债）、可交换债券等）、资产支持证券、债券回购、银行存款、同业存单、货币市场工具、信用衍生品以及法律法规或中国证监会允许基金投资的其他金融工具（但须符合中国证监会的相关规定）。</w:t>
      </w:r>
    </w:p>
    <w:p w14:paraId="6B091712" w14:textId="60536BFF"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本基金可根据法律法规的规定参与融资业务。</w:t>
      </w:r>
    </w:p>
    <w:p w14:paraId="56C6EB6C"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如法律法规或监管机构以后允许基金投资其他品种，基金管理人在履行适当程序后，可以将其纳入投资范围。</w:t>
      </w:r>
    </w:p>
    <w:p w14:paraId="1A0F0B01" w14:textId="3574E2C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基金的投资组合比例为：本基金股票资产占基金资产的比例为</w:t>
      </w:r>
      <w:r w:rsidRPr="00636EFB">
        <w:rPr>
          <w:rFonts w:ascii="彩虹粗仿宋" w:eastAsia="彩虹粗仿宋" w:hAnsi="宋体" w:cs="Arial"/>
          <w:color w:val="000000" w:themeColor="text1"/>
          <w:kern w:val="0"/>
          <w:sz w:val="24"/>
          <w:szCs w:val="24"/>
        </w:rPr>
        <w:t>60%-95%</w:t>
      </w:r>
      <w:r w:rsidRPr="00636EFB">
        <w:rPr>
          <w:rFonts w:ascii="彩虹粗仿宋" w:eastAsia="彩虹粗仿宋" w:hAnsi="宋体" w:cs="Arial" w:hint="eastAsia"/>
          <w:color w:val="000000" w:themeColor="text1"/>
          <w:kern w:val="0"/>
          <w:sz w:val="24"/>
          <w:szCs w:val="24"/>
        </w:rPr>
        <w:t>，其中投资于港股通标的股票的比例不超过股票资产的</w:t>
      </w:r>
      <w:r w:rsidRPr="00636EFB">
        <w:rPr>
          <w:rFonts w:ascii="彩虹粗仿宋" w:eastAsia="彩虹粗仿宋" w:hAnsi="宋体" w:cs="Arial"/>
          <w:color w:val="000000" w:themeColor="text1"/>
          <w:kern w:val="0"/>
          <w:sz w:val="24"/>
          <w:szCs w:val="24"/>
        </w:rPr>
        <w:t>50%</w:t>
      </w:r>
      <w:r w:rsidRPr="00636EFB">
        <w:rPr>
          <w:rFonts w:ascii="彩虹粗仿宋" w:eastAsia="彩虹粗仿宋" w:hAnsi="宋体" w:cs="Arial" w:hint="eastAsia"/>
          <w:color w:val="000000" w:themeColor="text1"/>
          <w:kern w:val="0"/>
          <w:sz w:val="24"/>
          <w:szCs w:val="24"/>
        </w:rPr>
        <w:t>；投资于本基金界定的消费主题相关证券资产的比例不低于非现金基金资产的</w:t>
      </w:r>
      <w:r w:rsidRPr="00636EFB">
        <w:rPr>
          <w:rFonts w:ascii="彩虹粗仿宋" w:eastAsia="彩虹粗仿宋" w:hAnsi="宋体" w:cs="Arial"/>
          <w:color w:val="000000" w:themeColor="text1"/>
          <w:kern w:val="0"/>
          <w:sz w:val="24"/>
          <w:szCs w:val="24"/>
        </w:rPr>
        <w:t>80%</w:t>
      </w:r>
      <w:r w:rsidRPr="00636EFB">
        <w:rPr>
          <w:rFonts w:ascii="彩虹粗仿宋" w:eastAsia="彩虹粗仿宋" w:hAnsi="宋体" w:cs="Arial" w:hint="eastAsia"/>
          <w:color w:val="000000" w:themeColor="text1"/>
          <w:kern w:val="0"/>
          <w:sz w:val="24"/>
          <w:szCs w:val="24"/>
        </w:rPr>
        <w:t>；每个交易日日终在扣除股票期权、股指期货和国债期货合约需缴纳的交易保证金后，保持不低于基金资产净值</w:t>
      </w:r>
      <w:r w:rsidRPr="00636EFB">
        <w:rPr>
          <w:rFonts w:ascii="彩虹粗仿宋" w:eastAsia="彩虹粗仿宋" w:hAnsi="宋体" w:cs="Arial"/>
          <w:color w:val="000000" w:themeColor="text1"/>
          <w:kern w:val="0"/>
          <w:sz w:val="24"/>
          <w:szCs w:val="24"/>
        </w:rPr>
        <w:t>5%</w:t>
      </w:r>
      <w:r w:rsidRPr="00636EFB">
        <w:rPr>
          <w:rFonts w:ascii="彩虹粗仿宋" w:eastAsia="彩虹粗仿宋" w:hAnsi="宋体" w:cs="Arial" w:hint="eastAsia"/>
          <w:color w:val="000000" w:themeColor="text1"/>
          <w:kern w:val="0"/>
          <w:sz w:val="24"/>
          <w:szCs w:val="24"/>
        </w:rPr>
        <w:t>的现金或者到期日在一年以内的政府债券，其中现金不包括结算备付金、存出保证金和应收申购款等</w:t>
      </w:r>
      <w:r>
        <w:rPr>
          <w:rFonts w:ascii="彩虹粗仿宋" w:eastAsia="彩虹粗仿宋" w:hAnsi="宋体" w:cs="Arial" w:hint="eastAsia"/>
          <w:color w:val="000000" w:themeColor="text1"/>
          <w:kern w:val="0"/>
          <w:sz w:val="24"/>
          <w:szCs w:val="24"/>
        </w:rPr>
        <w:t>。</w:t>
      </w:r>
    </w:p>
    <w:p w14:paraId="4E25DD56"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（二）基金托管人根据有关法律法规的规定及《基金合同》的约定，对基金投资、融资比例进行监督。基金托管人按下述比例和调整期限进行监督：</w:t>
      </w:r>
    </w:p>
    <w:p w14:paraId="1DA8FA05" w14:textId="4FEEFDB6"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bookmarkStart w:id="3" w:name="_Hlk221738558"/>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1</w:t>
      </w:r>
      <w:r w:rsidRPr="00636EFB">
        <w:rPr>
          <w:rFonts w:ascii="彩虹粗仿宋" w:eastAsia="彩虹粗仿宋" w:hAnsi="宋体" w:cs="Arial" w:hint="eastAsia"/>
          <w:color w:val="000000" w:themeColor="text1"/>
          <w:kern w:val="0"/>
          <w:sz w:val="24"/>
          <w:szCs w:val="24"/>
        </w:rPr>
        <w:t>）本基金股票资产占基金资产的比例为</w:t>
      </w:r>
      <w:r w:rsidRPr="00636EFB">
        <w:rPr>
          <w:rFonts w:ascii="彩虹粗仿宋" w:eastAsia="彩虹粗仿宋" w:hAnsi="宋体" w:cs="Arial"/>
          <w:color w:val="000000" w:themeColor="text1"/>
          <w:kern w:val="0"/>
          <w:sz w:val="24"/>
          <w:szCs w:val="24"/>
        </w:rPr>
        <w:t>60%-95%</w:t>
      </w:r>
      <w:r w:rsidRPr="00636EFB">
        <w:rPr>
          <w:rFonts w:ascii="彩虹粗仿宋" w:eastAsia="彩虹粗仿宋" w:hAnsi="宋体" w:cs="Arial" w:hint="eastAsia"/>
          <w:color w:val="000000" w:themeColor="text1"/>
          <w:kern w:val="0"/>
          <w:sz w:val="24"/>
          <w:szCs w:val="24"/>
        </w:rPr>
        <w:t>，</w:t>
      </w:r>
      <w:r>
        <w:rPr>
          <w:rFonts w:ascii="彩虹粗仿宋" w:eastAsia="彩虹粗仿宋" w:hAnsi="宋体" w:cs="Arial" w:hint="eastAsia"/>
          <w:color w:val="000000" w:themeColor="text1"/>
          <w:kern w:val="0"/>
          <w:sz w:val="24"/>
          <w:szCs w:val="24"/>
        </w:rPr>
        <w:t>其中投资于港股通标的股票的比例不超过股票资产的50%；投资于本基金界定的消费主题相关证券资产的比例不低于非现金基金资产的80%</w:t>
      </w:r>
      <w:r w:rsidRPr="00636EFB">
        <w:rPr>
          <w:rFonts w:ascii="彩虹粗仿宋" w:eastAsia="彩虹粗仿宋" w:hAnsi="宋体" w:cs="Arial" w:hint="eastAsia"/>
          <w:color w:val="000000" w:themeColor="text1"/>
          <w:kern w:val="0"/>
          <w:sz w:val="24"/>
          <w:szCs w:val="24"/>
        </w:rPr>
        <w:t>；</w:t>
      </w:r>
    </w:p>
    <w:p w14:paraId="768C5A1F"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2</w:t>
      </w:r>
      <w:r w:rsidRPr="00636EFB">
        <w:rPr>
          <w:rFonts w:ascii="彩虹粗仿宋" w:eastAsia="彩虹粗仿宋" w:hAnsi="宋体" w:cs="Arial" w:hint="eastAsia"/>
          <w:color w:val="000000" w:themeColor="text1"/>
          <w:kern w:val="0"/>
          <w:sz w:val="24"/>
          <w:szCs w:val="24"/>
        </w:rPr>
        <w:t>）每个交易日日终在扣除股票期权、股指期货和国债期货合约需缴纳的交易保证金后，保持不低于基金资产净值</w:t>
      </w:r>
      <w:r w:rsidRPr="00636EFB">
        <w:rPr>
          <w:rFonts w:ascii="彩虹粗仿宋" w:eastAsia="彩虹粗仿宋" w:hAnsi="宋体" w:cs="Arial"/>
          <w:color w:val="000000" w:themeColor="text1"/>
          <w:kern w:val="0"/>
          <w:sz w:val="24"/>
          <w:szCs w:val="24"/>
        </w:rPr>
        <w:t>5%</w:t>
      </w:r>
      <w:r w:rsidRPr="00636EFB">
        <w:rPr>
          <w:rFonts w:ascii="彩虹粗仿宋" w:eastAsia="彩虹粗仿宋" w:hAnsi="宋体" w:cs="Arial" w:hint="eastAsia"/>
          <w:color w:val="000000" w:themeColor="text1"/>
          <w:kern w:val="0"/>
          <w:sz w:val="24"/>
          <w:szCs w:val="24"/>
        </w:rPr>
        <w:t>的现金或者到期日在一年以内的政府债券，其中现金不包括结算备付金、存出保证金和应收申购款等；</w:t>
      </w:r>
    </w:p>
    <w:p w14:paraId="016A3BF8"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3</w:t>
      </w:r>
      <w:r w:rsidRPr="00636EFB">
        <w:rPr>
          <w:rFonts w:ascii="彩虹粗仿宋" w:eastAsia="彩虹粗仿宋" w:hAnsi="宋体" w:cs="Arial" w:hint="eastAsia"/>
          <w:color w:val="000000" w:themeColor="text1"/>
          <w:kern w:val="0"/>
          <w:sz w:val="24"/>
          <w:szCs w:val="24"/>
        </w:rPr>
        <w:t>）本基金参与融资业务，在任何交易日日终，持有的融资买入股票与其他有价证券市值之和，不得超过基金资产净值的</w:t>
      </w:r>
      <w:r w:rsidRPr="00636EFB">
        <w:rPr>
          <w:rFonts w:ascii="彩虹粗仿宋" w:eastAsia="彩虹粗仿宋" w:hAnsi="宋体" w:cs="Arial"/>
          <w:color w:val="000000" w:themeColor="text1"/>
          <w:kern w:val="0"/>
          <w:sz w:val="24"/>
          <w:szCs w:val="24"/>
        </w:rPr>
        <w:t>95%</w:t>
      </w:r>
      <w:r w:rsidRPr="00636EFB">
        <w:rPr>
          <w:rFonts w:ascii="彩虹粗仿宋" w:eastAsia="彩虹粗仿宋" w:hAnsi="宋体" w:cs="Arial" w:hint="eastAsia"/>
          <w:color w:val="000000" w:themeColor="text1"/>
          <w:kern w:val="0"/>
          <w:sz w:val="24"/>
          <w:szCs w:val="24"/>
        </w:rPr>
        <w:t>；</w:t>
      </w:r>
    </w:p>
    <w:p w14:paraId="638B515D"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4</w:t>
      </w:r>
      <w:r w:rsidRPr="00636EFB">
        <w:rPr>
          <w:rFonts w:ascii="彩虹粗仿宋" w:eastAsia="彩虹粗仿宋" w:hAnsi="宋体" w:cs="Arial" w:hint="eastAsia"/>
          <w:color w:val="000000" w:themeColor="text1"/>
          <w:kern w:val="0"/>
          <w:sz w:val="24"/>
          <w:szCs w:val="24"/>
        </w:rPr>
        <w:t>）本基金持有一家公司发行的证券（同一家公司在境内和香港同时上市的</w:t>
      </w:r>
      <w:r w:rsidRPr="00636EFB">
        <w:rPr>
          <w:rFonts w:ascii="彩虹粗仿宋" w:eastAsia="彩虹粗仿宋" w:hAnsi="宋体" w:cs="Arial"/>
          <w:color w:val="000000" w:themeColor="text1"/>
          <w:kern w:val="0"/>
          <w:sz w:val="24"/>
          <w:szCs w:val="24"/>
        </w:rPr>
        <w:t>A+H</w:t>
      </w:r>
      <w:r w:rsidRPr="00636EFB">
        <w:rPr>
          <w:rFonts w:ascii="彩虹粗仿宋" w:eastAsia="彩虹粗仿宋" w:hAnsi="宋体" w:cs="Arial" w:hint="eastAsia"/>
          <w:color w:val="000000" w:themeColor="text1"/>
          <w:kern w:val="0"/>
          <w:sz w:val="24"/>
          <w:szCs w:val="24"/>
        </w:rPr>
        <w:t>股合计计算），其市值不超过基金资产净值的</w:t>
      </w:r>
      <w:r w:rsidRPr="00636EFB">
        <w:rPr>
          <w:rFonts w:ascii="彩虹粗仿宋" w:eastAsia="彩虹粗仿宋" w:hAnsi="宋体" w:cs="Arial"/>
          <w:color w:val="000000" w:themeColor="text1"/>
          <w:kern w:val="0"/>
          <w:sz w:val="24"/>
          <w:szCs w:val="24"/>
        </w:rPr>
        <w:t>10%</w:t>
      </w:r>
      <w:r w:rsidRPr="00636EFB">
        <w:rPr>
          <w:rFonts w:ascii="彩虹粗仿宋" w:eastAsia="彩虹粗仿宋" w:hAnsi="宋体" w:cs="Arial" w:hint="eastAsia"/>
          <w:color w:val="000000" w:themeColor="text1"/>
          <w:kern w:val="0"/>
          <w:sz w:val="24"/>
          <w:szCs w:val="24"/>
        </w:rPr>
        <w:t>；</w:t>
      </w:r>
    </w:p>
    <w:p w14:paraId="72BD466F"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5</w:t>
      </w:r>
      <w:r w:rsidRPr="00636EFB">
        <w:rPr>
          <w:rFonts w:ascii="彩虹粗仿宋" w:eastAsia="彩虹粗仿宋" w:hAnsi="宋体" w:cs="Arial" w:hint="eastAsia"/>
          <w:color w:val="000000" w:themeColor="text1"/>
          <w:kern w:val="0"/>
          <w:sz w:val="24"/>
          <w:szCs w:val="24"/>
        </w:rPr>
        <w:t>）本基金管理人管理的</w:t>
      </w:r>
      <w:r w:rsidR="000B35BE" w:rsidRPr="004A5831">
        <w:rPr>
          <w:rFonts w:ascii="彩虹粗仿宋" w:eastAsia="彩虹粗仿宋" w:hAnsi="宋体" w:cs="Arial" w:hint="eastAsia"/>
          <w:color w:val="000000" w:themeColor="text1"/>
          <w:kern w:val="0"/>
          <w:sz w:val="24"/>
          <w:szCs w:val="24"/>
        </w:rPr>
        <w:t>且在本基金托管人处托管的</w:t>
      </w:r>
      <w:r w:rsidRPr="00636EFB">
        <w:rPr>
          <w:rFonts w:ascii="彩虹粗仿宋" w:eastAsia="彩虹粗仿宋" w:hAnsi="宋体" w:cs="Arial" w:hint="eastAsia"/>
          <w:color w:val="000000" w:themeColor="text1"/>
          <w:kern w:val="0"/>
          <w:sz w:val="24"/>
          <w:szCs w:val="24"/>
        </w:rPr>
        <w:t>全部基金持有一家公司发行的证券（同一家公司在境内和香港同时上市的</w:t>
      </w:r>
      <w:r w:rsidRPr="00636EFB">
        <w:rPr>
          <w:rFonts w:ascii="彩虹粗仿宋" w:eastAsia="彩虹粗仿宋" w:hAnsi="宋体" w:cs="Arial"/>
          <w:color w:val="000000" w:themeColor="text1"/>
          <w:kern w:val="0"/>
          <w:sz w:val="24"/>
          <w:szCs w:val="24"/>
        </w:rPr>
        <w:t>A+H</w:t>
      </w:r>
      <w:r w:rsidRPr="00636EFB">
        <w:rPr>
          <w:rFonts w:ascii="彩虹粗仿宋" w:eastAsia="彩虹粗仿宋" w:hAnsi="宋体" w:cs="Arial" w:hint="eastAsia"/>
          <w:color w:val="000000" w:themeColor="text1"/>
          <w:kern w:val="0"/>
          <w:sz w:val="24"/>
          <w:szCs w:val="24"/>
        </w:rPr>
        <w:t>股合计计算），不超过该证券的</w:t>
      </w:r>
      <w:r w:rsidRPr="00636EFB">
        <w:rPr>
          <w:rFonts w:ascii="彩虹粗仿宋" w:eastAsia="彩虹粗仿宋" w:hAnsi="宋体" w:cs="Arial"/>
          <w:color w:val="000000" w:themeColor="text1"/>
          <w:kern w:val="0"/>
          <w:sz w:val="24"/>
          <w:szCs w:val="24"/>
        </w:rPr>
        <w:t>10%</w:t>
      </w:r>
      <w:r w:rsidRPr="00636EFB">
        <w:rPr>
          <w:rFonts w:ascii="彩虹粗仿宋" w:eastAsia="彩虹粗仿宋" w:hAnsi="宋体" w:cs="Arial" w:hint="eastAsia"/>
          <w:color w:val="000000" w:themeColor="text1"/>
          <w:kern w:val="0"/>
          <w:sz w:val="24"/>
          <w:szCs w:val="24"/>
        </w:rPr>
        <w:t>，但基金管理人跟踪标的指数的指数化投资部分不计入本项限制；</w:t>
      </w:r>
    </w:p>
    <w:p w14:paraId="6243F9F9"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6</w:t>
      </w:r>
      <w:r w:rsidRPr="00636EFB">
        <w:rPr>
          <w:rFonts w:ascii="彩虹粗仿宋" w:eastAsia="彩虹粗仿宋" w:hAnsi="宋体" w:cs="Arial" w:hint="eastAsia"/>
          <w:color w:val="000000" w:themeColor="text1"/>
          <w:kern w:val="0"/>
          <w:sz w:val="24"/>
          <w:szCs w:val="24"/>
        </w:rPr>
        <w:t>）本基金投资于同一原始权益人的各类资产支持证券的比例，不得超过基金资产净值的</w:t>
      </w:r>
      <w:r w:rsidRPr="00636EFB">
        <w:rPr>
          <w:rFonts w:ascii="彩虹粗仿宋" w:eastAsia="彩虹粗仿宋" w:hAnsi="宋体" w:cs="Arial"/>
          <w:color w:val="000000" w:themeColor="text1"/>
          <w:kern w:val="0"/>
          <w:sz w:val="24"/>
          <w:szCs w:val="24"/>
        </w:rPr>
        <w:t>10%</w:t>
      </w:r>
      <w:r w:rsidRPr="00636EFB">
        <w:rPr>
          <w:rFonts w:ascii="彩虹粗仿宋" w:eastAsia="彩虹粗仿宋" w:hAnsi="宋体" w:cs="Arial" w:hint="eastAsia"/>
          <w:color w:val="000000" w:themeColor="text1"/>
          <w:kern w:val="0"/>
          <w:sz w:val="24"/>
          <w:szCs w:val="24"/>
        </w:rPr>
        <w:t>；</w:t>
      </w:r>
    </w:p>
    <w:p w14:paraId="64D9A3CA"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7</w:t>
      </w:r>
      <w:r w:rsidRPr="00636EFB">
        <w:rPr>
          <w:rFonts w:ascii="彩虹粗仿宋" w:eastAsia="彩虹粗仿宋" w:hAnsi="宋体" w:cs="Arial" w:hint="eastAsia"/>
          <w:color w:val="000000" w:themeColor="text1"/>
          <w:kern w:val="0"/>
          <w:sz w:val="24"/>
          <w:szCs w:val="24"/>
        </w:rPr>
        <w:t>）本基金持有的全部资产支持证券，其市值不得超过基金资产净值的</w:t>
      </w:r>
      <w:r w:rsidRPr="00636EFB">
        <w:rPr>
          <w:rFonts w:ascii="彩虹粗仿宋" w:eastAsia="彩虹粗仿宋" w:hAnsi="宋体" w:cs="Arial"/>
          <w:color w:val="000000" w:themeColor="text1"/>
          <w:kern w:val="0"/>
          <w:sz w:val="24"/>
          <w:szCs w:val="24"/>
        </w:rPr>
        <w:t>20%</w:t>
      </w:r>
      <w:r w:rsidRPr="00636EFB">
        <w:rPr>
          <w:rFonts w:ascii="彩虹粗仿宋" w:eastAsia="彩虹粗仿宋" w:hAnsi="宋体" w:cs="Arial" w:hint="eastAsia"/>
          <w:color w:val="000000" w:themeColor="text1"/>
          <w:kern w:val="0"/>
          <w:sz w:val="24"/>
          <w:szCs w:val="24"/>
        </w:rPr>
        <w:t>；</w:t>
      </w:r>
    </w:p>
    <w:p w14:paraId="0C6D7086"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8</w:t>
      </w:r>
      <w:r w:rsidRPr="00636EFB">
        <w:rPr>
          <w:rFonts w:ascii="彩虹粗仿宋" w:eastAsia="彩虹粗仿宋" w:hAnsi="宋体" w:cs="Arial" w:hint="eastAsia"/>
          <w:color w:val="000000" w:themeColor="text1"/>
          <w:kern w:val="0"/>
          <w:sz w:val="24"/>
          <w:szCs w:val="24"/>
        </w:rPr>
        <w:t>）本基金持有的同一（指同一信用级别）资产支持证券的比例，不得超过该资产支持证券规模的</w:t>
      </w:r>
      <w:r w:rsidRPr="00636EFB">
        <w:rPr>
          <w:rFonts w:ascii="彩虹粗仿宋" w:eastAsia="彩虹粗仿宋" w:hAnsi="宋体" w:cs="Arial"/>
          <w:color w:val="000000" w:themeColor="text1"/>
          <w:kern w:val="0"/>
          <w:sz w:val="24"/>
          <w:szCs w:val="24"/>
        </w:rPr>
        <w:t>10%</w:t>
      </w:r>
      <w:r w:rsidRPr="00636EFB">
        <w:rPr>
          <w:rFonts w:ascii="彩虹粗仿宋" w:eastAsia="彩虹粗仿宋" w:hAnsi="宋体" w:cs="Arial" w:hint="eastAsia"/>
          <w:color w:val="000000" w:themeColor="text1"/>
          <w:kern w:val="0"/>
          <w:sz w:val="24"/>
          <w:szCs w:val="24"/>
        </w:rPr>
        <w:t>；</w:t>
      </w:r>
    </w:p>
    <w:p w14:paraId="5D828CFC"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9</w:t>
      </w:r>
      <w:r w:rsidRPr="00636EFB">
        <w:rPr>
          <w:rFonts w:ascii="彩虹粗仿宋" w:eastAsia="彩虹粗仿宋" w:hAnsi="宋体" w:cs="Arial" w:hint="eastAsia"/>
          <w:color w:val="000000" w:themeColor="text1"/>
          <w:kern w:val="0"/>
          <w:sz w:val="24"/>
          <w:szCs w:val="24"/>
        </w:rPr>
        <w:t>）本基金管理人管理的</w:t>
      </w:r>
      <w:r w:rsidR="000B35BE" w:rsidRPr="004A5831">
        <w:rPr>
          <w:rFonts w:ascii="彩虹粗仿宋" w:eastAsia="彩虹粗仿宋" w:hAnsi="宋体" w:cs="Arial" w:hint="eastAsia"/>
          <w:color w:val="000000" w:themeColor="text1"/>
          <w:kern w:val="0"/>
          <w:sz w:val="24"/>
          <w:szCs w:val="24"/>
        </w:rPr>
        <w:t>且在本基金托管人处托管的</w:t>
      </w:r>
      <w:r w:rsidRPr="00636EFB">
        <w:rPr>
          <w:rFonts w:ascii="彩虹粗仿宋" w:eastAsia="彩虹粗仿宋" w:hAnsi="宋体" w:cs="Arial" w:hint="eastAsia"/>
          <w:color w:val="000000" w:themeColor="text1"/>
          <w:kern w:val="0"/>
          <w:sz w:val="24"/>
          <w:szCs w:val="24"/>
        </w:rPr>
        <w:t>全部基金投资于同一原始权益人的各类资产支持证券，不得超过其各类资产支持证券合计规模的</w:t>
      </w:r>
      <w:r w:rsidRPr="00636EFB">
        <w:rPr>
          <w:rFonts w:ascii="彩虹粗仿宋" w:eastAsia="彩虹粗仿宋" w:hAnsi="宋体" w:cs="Arial"/>
          <w:color w:val="000000" w:themeColor="text1"/>
          <w:kern w:val="0"/>
          <w:sz w:val="24"/>
          <w:szCs w:val="24"/>
        </w:rPr>
        <w:t>10%</w:t>
      </w:r>
      <w:r w:rsidRPr="00636EFB">
        <w:rPr>
          <w:rFonts w:ascii="彩虹粗仿宋" w:eastAsia="彩虹粗仿宋" w:hAnsi="宋体" w:cs="Arial" w:hint="eastAsia"/>
          <w:color w:val="000000" w:themeColor="text1"/>
          <w:kern w:val="0"/>
          <w:sz w:val="24"/>
          <w:szCs w:val="24"/>
        </w:rPr>
        <w:t>；</w:t>
      </w:r>
    </w:p>
    <w:p w14:paraId="7467843F"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10</w:t>
      </w:r>
      <w:r w:rsidRPr="00636EFB">
        <w:rPr>
          <w:rFonts w:ascii="彩虹粗仿宋" w:eastAsia="彩虹粗仿宋" w:hAnsi="宋体" w:cs="Arial" w:hint="eastAsia"/>
          <w:color w:val="000000" w:themeColor="text1"/>
          <w:kern w:val="0"/>
          <w:sz w:val="24"/>
          <w:szCs w:val="24"/>
        </w:rPr>
        <w:t>）本基金应投资于信用级别评级为</w:t>
      </w:r>
      <w:r w:rsidRPr="00636EFB">
        <w:rPr>
          <w:rFonts w:ascii="彩虹粗仿宋" w:eastAsia="彩虹粗仿宋" w:hAnsi="宋体" w:cs="Arial"/>
          <w:color w:val="000000" w:themeColor="text1"/>
          <w:kern w:val="0"/>
          <w:sz w:val="24"/>
          <w:szCs w:val="24"/>
        </w:rPr>
        <w:t>BBB</w:t>
      </w:r>
      <w:r w:rsidRPr="00636EFB">
        <w:rPr>
          <w:rFonts w:ascii="彩虹粗仿宋" w:eastAsia="彩虹粗仿宋" w:hAnsi="宋体" w:cs="Arial" w:hint="eastAsia"/>
          <w:color w:val="000000" w:themeColor="text1"/>
          <w:kern w:val="0"/>
          <w:sz w:val="24"/>
          <w:szCs w:val="24"/>
        </w:rPr>
        <w:t>以上（含</w:t>
      </w:r>
      <w:r w:rsidRPr="00636EFB">
        <w:rPr>
          <w:rFonts w:ascii="彩虹粗仿宋" w:eastAsia="彩虹粗仿宋" w:hAnsi="宋体" w:cs="Arial"/>
          <w:color w:val="000000" w:themeColor="text1"/>
          <w:kern w:val="0"/>
          <w:sz w:val="24"/>
          <w:szCs w:val="24"/>
        </w:rPr>
        <w:t>BBB</w:t>
      </w:r>
      <w:r w:rsidRPr="00636EFB">
        <w:rPr>
          <w:rFonts w:ascii="彩虹粗仿宋" w:eastAsia="彩虹粗仿宋" w:hAnsi="宋体" w:cs="Arial" w:hint="eastAsia"/>
          <w:color w:val="000000" w:themeColor="text1"/>
          <w:kern w:val="0"/>
          <w:sz w:val="24"/>
          <w:szCs w:val="24"/>
        </w:rPr>
        <w:t>）的资产支持证券。基金持有资产支持证券期间，如果其信用等级下降、不再符合投资标准，应在评级报告发布之日起</w:t>
      </w:r>
      <w:r w:rsidRPr="00636EFB">
        <w:rPr>
          <w:rFonts w:ascii="彩虹粗仿宋" w:eastAsia="彩虹粗仿宋" w:hAnsi="宋体" w:cs="Arial"/>
          <w:color w:val="000000" w:themeColor="text1"/>
          <w:kern w:val="0"/>
          <w:sz w:val="24"/>
          <w:szCs w:val="24"/>
        </w:rPr>
        <w:t>3</w:t>
      </w:r>
      <w:r w:rsidRPr="00636EFB">
        <w:rPr>
          <w:rFonts w:ascii="彩虹粗仿宋" w:eastAsia="彩虹粗仿宋" w:hAnsi="宋体" w:cs="Arial" w:hint="eastAsia"/>
          <w:color w:val="000000" w:themeColor="text1"/>
          <w:kern w:val="0"/>
          <w:sz w:val="24"/>
          <w:szCs w:val="24"/>
        </w:rPr>
        <w:t>个月内予以全部卖出；</w:t>
      </w:r>
    </w:p>
    <w:p w14:paraId="424969E2"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11</w:t>
      </w:r>
      <w:r w:rsidRPr="00636EFB">
        <w:rPr>
          <w:rFonts w:ascii="彩虹粗仿宋" w:eastAsia="彩虹粗仿宋" w:hAnsi="宋体" w:cs="Arial" w:hint="eastAsia"/>
          <w:color w:val="000000" w:themeColor="text1"/>
          <w:kern w:val="0"/>
          <w:sz w:val="24"/>
          <w:szCs w:val="24"/>
        </w:rPr>
        <w:t>）基金财产参与股票发行申购，本基金所申报的金额不超过本基金的总资产，本基金所申报的股票数量不超过拟发行股票公司本次发行股票的总量；</w:t>
      </w:r>
    </w:p>
    <w:p w14:paraId="156FECD4"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12</w:t>
      </w:r>
      <w:r w:rsidRPr="00636EFB">
        <w:rPr>
          <w:rFonts w:ascii="彩虹粗仿宋" w:eastAsia="彩虹粗仿宋" w:hAnsi="宋体" w:cs="Arial" w:hint="eastAsia"/>
          <w:color w:val="000000" w:themeColor="text1"/>
          <w:kern w:val="0"/>
          <w:sz w:val="24"/>
          <w:szCs w:val="24"/>
        </w:rPr>
        <w:t>）本基金持有单只证券公司短期公司债券，其市值不得超过本基金资产净值的</w:t>
      </w:r>
      <w:r w:rsidRPr="00636EFB">
        <w:rPr>
          <w:rFonts w:ascii="彩虹粗仿宋" w:eastAsia="彩虹粗仿宋" w:hAnsi="宋体" w:cs="Arial"/>
          <w:color w:val="000000" w:themeColor="text1"/>
          <w:kern w:val="0"/>
          <w:sz w:val="24"/>
          <w:szCs w:val="24"/>
        </w:rPr>
        <w:t>10%</w:t>
      </w:r>
      <w:r w:rsidRPr="00636EFB">
        <w:rPr>
          <w:rFonts w:ascii="彩虹粗仿宋" w:eastAsia="彩虹粗仿宋" w:hAnsi="宋体" w:cs="Arial" w:hint="eastAsia"/>
          <w:color w:val="000000" w:themeColor="text1"/>
          <w:kern w:val="0"/>
          <w:sz w:val="24"/>
          <w:szCs w:val="24"/>
        </w:rPr>
        <w:t>；</w:t>
      </w:r>
    </w:p>
    <w:p w14:paraId="01DD3FCF"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13</w:t>
      </w:r>
      <w:r w:rsidRPr="00636EFB">
        <w:rPr>
          <w:rFonts w:ascii="彩虹粗仿宋" w:eastAsia="彩虹粗仿宋" w:hAnsi="宋体" w:cs="Arial" w:hint="eastAsia"/>
          <w:color w:val="000000" w:themeColor="text1"/>
          <w:kern w:val="0"/>
          <w:sz w:val="24"/>
          <w:szCs w:val="24"/>
        </w:rPr>
        <w:t>）本基金参与股指期货、国债期货交易，需遵循下述投资比例限制：</w:t>
      </w:r>
    </w:p>
    <w:p w14:paraId="1FE5A3EB"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本基金在任何交易日日终，持有的买入股指期货合约价值不得超过基金资产净值的</w:t>
      </w:r>
      <w:r w:rsidRPr="00636EFB">
        <w:rPr>
          <w:rFonts w:ascii="彩虹粗仿宋" w:eastAsia="彩虹粗仿宋" w:hAnsi="宋体" w:cs="Arial"/>
          <w:color w:val="000000" w:themeColor="text1"/>
          <w:kern w:val="0"/>
          <w:sz w:val="24"/>
          <w:szCs w:val="24"/>
        </w:rPr>
        <w:t>10%</w:t>
      </w:r>
      <w:r w:rsidRPr="00636EFB">
        <w:rPr>
          <w:rFonts w:ascii="彩虹粗仿宋" w:eastAsia="彩虹粗仿宋" w:hAnsi="宋体" w:cs="Arial" w:hint="eastAsia"/>
          <w:color w:val="000000" w:themeColor="text1"/>
          <w:kern w:val="0"/>
          <w:sz w:val="24"/>
          <w:szCs w:val="24"/>
        </w:rPr>
        <w:t>；本基金在任何交易日日终，持有的买入股指期货及国债期货合约价值与有价证券市值之和，不得超过基金资产净值的</w:t>
      </w:r>
      <w:r w:rsidRPr="00636EFB">
        <w:rPr>
          <w:rFonts w:ascii="彩虹粗仿宋" w:eastAsia="彩虹粗仿宋" w:hAnsi="宋体" w:cs="Arial"/>
          <w:color w:val="000000" w:themeColor="text1"/>
          <w:kern w:val="0"/>
          <w:sz w:val="24"/>
          <w:szCs w:val="24"/>
        </w:rPr>
        <w:t>95%</w:t>
      </w:r>
      <w:r w:rsidRPr="00636EFB">
        <w:rPr>
          <w:rFonts w:ascii="彩虹粗仿宋" w:eastAsia="彩虹粗仿宋" w:hAnsi="宋体" w:cs="Arial" w:hint="eastAsia"/>
          <w:color w:val="000000" w:themeColor="text1"/>
          <w:kern w:val="0"/>
          <w:sz w:val="24"/>
          <w:szCs w:val="24"/>
        </w:rPr>
        <w:t>，其中，有价证券指股票、债券（不含到期日在一年以内的政府债券）、资产支持证券、买入返售金融资产（不含质押式回购）等；本基金在任何交易日日终，持有的卖出股指期货合约价</w:t>
      </w:r>
      <w:r w:rsidRPr="00636EFB">
        <w:rPr>
          <w:rFonts w:ascii="彩虹粗仿宋" w:eastAsia="彩虹粗仿宋" w:hAnsi="宋体" w:cs="Arial" w:hint="eastAsia"/>
          <w:color w:val="000000" w:themeColor="text1"/>
          <w:kern w:val="0"/>
          <w:sz w:val="24"/>
          <w:szCs w:val="24"/>
        </w:rPr>
        <w:lastRenderedPageBreak/>
        <w:t>值不得超过基金持有的股票总市值的</w:t>
      </w:r>
      <w:r w:rsidRPr="00636EFB">
        <w:rPr>
          <w:rFonts w:ascii="彩虹粗仿宋" w:eastAsia="彩虹粗仿宋" w:hAnsi="宋体" w:cs="Arial"/>
          <w:color w:val="000000" w:themeColor="text1"/>
          <w:kern w:val="0"/>
          <w:sz w:val="24"/>
          <w:szCs w:val="24"/>
        </w:rPr>
        <w:t>20%</w:t>
      </w:r>
      <w:r w:rsidRPr="00636EFB">
        <w:rPr>
          <w:rFonts w:ascii="彩虹粗仿宋" w:eastAsia="彩虹粗仿宋" w:hAnsi="宋体" w:cs="Arial" w:hint="eastAsia"/>
          <w:color w:val="000000" w:themeColor="text1"/>
          <w:kern w:val="0"/>
          <w:sz w:val="24"/>
          <w:szCs w:val="24"/>
        </w:rPr>
        <w:t>；本基金在任何交易日内交易（不包括平仓）的股指期货合约的成交金额不得超过上一交易日基金资产净值的</w:t>
      </w:r>
      <w:r w:rsidRPr="00636EFB">
        <w:rPr>
          <w:rFonts w:ascii="彩虹粗仿宋" w:eastAsia="彩虹粗仿宋" w:hAnsi="宋体" w:cs="Arial"/>
          <w:color w:val="000000" w:themeColor="text1"/>
          <w:kern w:val="0"/>
          <w:sz w:val="24"/>
          <w:szCs w:val="24"/>
        </w:rPr>
        <w:t>20%</w:t>
      </w:r>
      <w:r w:rsidRPr="00636EFB">
        <w:rPr>
          <w:rFonts w:ascii="彩虹粗仿宋" w:eastAsia="彩虹粗仿宋" w:hAnsi="宋体" w:cs="Arial" w:hint="eastAsia"/>
          <w:color w:val="000000" w:themeColor="text1"/>
          <w:kern w:val="0"/>
          <w:sz w:val="24"/>
          <w:szCs w:val="24"/>
        </w:rPr>
        <w:t>；本基金所持有的股票市值和买入、卖出股指期货合约价值，合计（轧差计算）占基金资产的比例应当符合《基金合同》关于股票投资比例的有关规定；</w:t>
      </w:r>
    </w:p>
    <w:p w14:paraId="47CE3F4C" w14:textId="6436CBE4"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本基金在任何交易日日终，持有的买入国债期货合约价值，不得超过基金资产净值的</w:t>
      </w:r>
      <w:r w:rsidRPr="00636EFB">
        <w:rPr>
          <w:rFonts w:ascii="彩虹粗仿宋" w:eastAsia="彩虹粗仿宋" w:hAnsi="宋体" w:cs="Arial"/>
          <w:color w:val="000000" w:themeColor="text1"/>
          <w:kern w:val="0"/>
          <w:sz w:val="24"/>
          <w:szCs w:val="24"/>
        </w:rPr>
        <w:t>15%</w:t>
      </w:r>
      <w:r w:rsidRPr="00636EFB">
        <w:rPr>
          <w:rFonts w:ascii="彩虹粗仿宋" w:eastAsia="彩虹粗仿宋" w:hAnsi="宋体" w:cs="Arial" w:hint="eastAsia"/>
          <w:color w:val="000000" w:themeColor="text1"/>
          <w:kern w:val="0"/>
          <w:sz w:val="24"/>
          <w:szCs w:val="24"/>
        </w:rPr>
        <w:t>；本基金在任何交易日日终，持有的卖出国债期货合约价值不得超过基金持有的债券总市值的</w:t>
      </w:r>
      <w:r w:rsidRPr="00636EFB">
        <w:rPr>
          <w:rFonts w:ascii="彩虹粗仿宋" w:eastAsia="彩虹粗仿宋" w:hAnsi="宋体" w:cs="Arial"/>
          <w:color w:val="000000" w:themeColor="text1"/>
          <w:kern w:val="0"/>
          <w:sz w:val="24"/>
          <w:szCs w:val="24"/>
        </w:rPr>
        <w:t>30%</w:t>
      </w:r>
      <w:r w:rsidRPr="00636EFB">
        <w:rPr>
          <w:rFonts w:ascii="彩虹粗仿宋" w:eastAsia="彩虹粗仿宋" w:hAnsi="宋体" w:cs="Arial" w:hint="eastAsia"/>
          <w:color w:val="000000" w:themeColor="text1"/>
          <w:kern w:val="0"/>
          <w:sz w:val="24"/>
          <w:szCs w:val="24"/>
        </w:rPr>
        <w:t>；本基金在任何交易日内交易（不包括平仓）的国债期货合约的成交金额不得超过上一交易日基金资产净值的</w:t>
      </w:r>
      <w:r w:rsidRPr="00636EFB">
        <w:rPr>
          <w:rFonts w:ascii="彩虹粗仿宋" w:eastAsia="彩虹粗仿宋" w:hAnsi="宋体" w:cs="Arial"/>
          <w:color w:val="000000" w:themeColor="text1"/>
          <w:kern w:val="0"/>
          <w:sz w:val="24"/>
          <w:szCs w:val="24"/>
        </w:rPr>
        <w:t>30%</w:t>
      </w:r>
      <w:r w:rsidRPr="00636EFB">
        <w:rPr>
          <w:rFonts w:ascii="彩虹粗仿宋" w:eastAsia="彩虹粗仿宋" w:hAnsi="宋体" w:cs="Arial" w:hint="eastAsia"/>
          <w:color w:val="000000" w:themeColor="text1"/>
          <w:kern w:val="0"/>
          <w:sz w:val="24"/>
          <w:szCs w:val="24"/>
        </w:rPr>
        <w:t>；</w:t>
      </w:r>
      <w:r w:rsidR="000B35BE" w:rsidRPr="000B35BE" w:rsidDel="000B35BE">
        <w:rPr>
          <w:rFonts w:ascii="彩虹粗仿宋" w:eastAsia="彩虹粗仿宋" w:hAnsi="宋体" w:cs="Arial" w:hint="eastAsia"/>
          <w:color w:val="000000" w:themeColor="text1"/>
          <w:kern w:val="0"/>
          <w:sz w:val="24"/>
          <w:szCs w:val="24"/>
        </w:rPr>
        <w:t xml:space="preserve"> </w:t>
      </w:r>
    </w:p>
    <w:p w14:paraId="4E5F17AE" w14:textId="0DCB67E4"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14</w:t>
      </w:r>
      <w:r w:rsidRPr="00636EFB">
        <w:rPr>
          <w:rFonts w:ascii="彩虹粗仿宋" w:eastAsia="彩虹粗仿宋" w:hAnsi="宋体" w:cs="Arial" w:hint="eastAsia"/>
          <w:color w:val="000000" w:themeColor="text1"/>
          <w:kern w:val="0"/>
          <w:sz w:val="24"/>
          <w:szCs w:val="24"/>
        </w:rPr>
        <w:t>）本基金参与股票期权交易，应当符合下列要求：基金因未平仓的期权合约支付和收取的权利金总额不得超过基金资产净值的</w:t>
      </w:r>
      <w:r w:rsidRPr="00636EFB">
        <w:rPr>
          <w:rFonts w:ascii="彩虹粗仿宋" w:eastAsia="彩虹粗仿宋" w:hAnsi="宋体" w:cs="Arial"/>
          <w:color w:val="000000" w:themeColor="text1"/>
          <w:kern w:val="0"/>
          <w:sz w:val="24"/>
          <w:szCs w:val="24"/>
        </w:rPr>
        <w:t>10%</w:t>
      </w:r>
      <w:r w:rsidRPr="00636EFB">
        <w:rPr>
          <w:rFonts w:ascii="彩虹粗仿宋" w:eastAsia="彩虹粗仿宋" w:hAnsi="宋体" w:cs="Arial" w:hint="eastAsia"/>
          <w:color w:val="000000" w:themeColor="text1"/>
          <w:kern w:val="0"/>
          <w:sz w:val="24"/>
          <w:szCs w:val="24"/>
        </w:rPr>
        <w:t>；未平仓的期权合约面值不得超过基金资产净值的</w:t>
      </w:r>
      <w:r w:rsidRPr="00636EFB">
        <w:rPr>
          <w:rFonts w:ascii="彩虹粗仿宋" w:eastAsia="彩虹粗仿宋" w:hAnsi="宋体" w:cs="Arial"/>
          <w:color w:val="000000" w:themeColor="text1"/>
          <w:kern w:val="0"/>
          <w:sz w:val="24"/>
          <w:szCs w:val="24"/>
        </w:rPr>
        <w:t>20%</w:t>
      </w:r>
      <w:r w:rsidRPr="00636EFB">
        <w:rPr>
          <w:rFonts w:ascii="彩虹粗仿宋" w:eastAsia="彩虹粗仿宋" w:hAnsi="宋体" w:cs="Arial" w:hint="eastAsia"/>
          <w:color w:val="000000" w:themeColor="text1"/>
          <w:kern w:val="0"/>
          <w:sz w:val="24"/>
          <w:szCs w:val="24"/>
        </w:rPr>
        <w:t>。其中，合约面值按照行权价乘以合约乘数计算；</w:t>
      </w:r>
    </w:p>
    <w:p w14:paraId="311C5C95"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15</w:t>
      </w:r>
      <w:r w:rsidRPr="00636EFB">
        <w:rPr>
          <w:rFonts w:ascii="彩虹粗仿宋" w:eastAsia="彩虹粗仿宋" w:hAnsi="宋体" w:cs="Arial" w:hint="eastAsia"/>
          <w:color w:val="000000" w:themeColor="text1"/>
          <w:kern w:val="0"/>
          <w:sz w:val="24"/>
          <w:szCs w:val="24"/>
        </w:rPr>
        <w:t>）本基金基金资产总值不超过基金资产净值的</w:t>
      </w:r>
      <w:r w:rsidRPr="00636EFB">
        <w:rPr>
          <w:rFonts w:ascii="彩虹粗仿宋" w:eastAsia="彩虹粗仿宋" w:hAnsi="宋体" w:cs="Arial"/>
          <w:color w:val="000000" w:themeColor="text1"/>
          <w:kern w:val="0"/>
          <w:sz w:val="24"/>
          <w:szCs w:val="24"/>
        </w:rPr>
        <w:t>140%</w:t>
      </w:r>
      <w:r w:rsidRPr="00636EFB">
        <w:rPr>
          <w:rFonts w:ascii="彩虹粗仿宋" w:eastAsia="彩虹粗仿宋" w:hAnsi="宋体" w:cs="Arial" w:hint="eastAsia"/>
          <w:color w:val="000000" w:themeColor="text1"/>
          <w:kern w:val="0"/>
          <w:sz w:val="24"/>
          <w:szCs w:val="24"/>
        </w:rPr>
        <w:t>；</w:t>
      </w:r>
    </w:p>
    <w:p w14:paraId="281888F6"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16</w:t>
      </w:r>
      <w:r w:rsidRPr="00636EFB">
        <w:rPr>
          <w:rFonts w:ascii="彩虹粗仿宋" w:eastAsia="彩虹粗仿宋" w:hAnsi="宋体" w:cs="Arial" w:hint="eastAsia"/>
          <w:color w:val="000000" w:themeColor="text1"/>
          <w:kern w:val="0"/>
          <w:sz w:val="24"/>
          <w:szCs w:val="24"/>
        </w:rPr>
        <w:t>）本基金管理人管理的</w:t>
      </w:r>
      <w:r w:rsidR="000B35BE" w:rsidRPr="00D96860">
        <w:rPr>
          <w:rFonts w:ascii="彩虹粗仿宋" w:eastAsia="彩虹粗仿宋" w:hAnsi="宋体" w:cs="Arial" w:hint="eastAsia"/>
          <w:color w:val="000000" w:themeColor="text1"/>
          <w:kern w:val="0"/>
          <w:sz w:val="24"/>
          <w:szCs w:val="24"/>
        </w:rPr>
        <w:t>且在本基金托管人处托管的</w:t>
      </w:r>
      <w:r w:rsidRPr="00636EFB">
        <w:rPr>
          <w:rFonts w:ascii="彩虹粗仿宋" w:eastAsia="彩虹粗仿宋" w:hAnsi="宋体" w:cs="Arial" w:hint="eastAsia"/>
          <w:color w:val="000000" w:themeColor="text1"/>
          <w:kern w:val="0"/>
          <w:sz w:val="24"/>
          <w:szCs w:val="24"/>
        </w:rPr>
        <w:t>全部开放式基金（包括开放式基金以及处于开放期的定期开放基金）持有一家上市公司发行的可流通股票，不得超过该上市公司可流通股票的</w:t>
      </w:r>
      <w:r w:rsidRPr="00636EFB">
        <w:rPr>
          <w:rFonts w:ascii="彩虹粗仿宋" w:eastAsia="彩虹粗仿宋" w:hAnsi="宋体" w:cs="Arial"/>
          <w:color w:val="000000" w:themeColor="text1"/>
          <w:kern w:val="0"/>
          <w:sz w:val="24"/>
          <w:szCs w:val="24"/>
        </w:rPr>
        <w:t>15%</w:t>
      </w:r>
      <w:r w:rsidRPr="00636EFB">
        <w:rPr>
          <w:rFonts w:ascii="彩虹粗仿宋" w:eastAsia="彩虹粗仿宋" w:hAnsi="宋体" w:cs="Arial" w:hint="eastAsia"/>
          <w:color w:val="000000" w:themeColor="text1"/>
          <w:kern w:val="0"/>
          <w:sz w:val="24"/>
          <w:szCs w:val="24"/>
        </w:rPr>
        <w:t>；本基金管理人管理的</w:t>
      </w:r>
      <w:r w:rsidR="000B35BE" w:rsidRPr="00D96860">
        <w:rPr>
          <w:rFonts w:ascii="彩虹粗仿宋" w:eastAsia="彩虹粗仿宋" w:hAnsi="宋体" w:cs="Arial" w:hint="eastAsia"/>
          <w:color w:val="000000" w:themeColor="text1"/>
          <w:kern w:val="0"/>
          <w:sz w:val="24"/>
          <w:szCs w:val="24"/>
        </w:rPr>
        <w:t>且在本基金托管人处托管的</w:t>
      </w:r>
      <w:r w:rsidRPr="00636EFB">
        <w:rPr>
          <w:rFonts w:ascii="彩虹粗仿宋" w:eastAsia="彩虹粗仿宋" w:hAnsi="宋体" w:cs="Arial" w:hint="eastAsia"/>
          <w:color w:val="000000" w:themeColor="text1"/>
          <w:kern w:val="0"/>
          <w:sz w:val="24"/>
          <w:szCs w:val="24"/>
        </w:rPr>
        <w:t>全部投资组合持有一家上市公司发行的可流通股票，不得超过该上市公司可流通股票的</w:t>
      </w:r>
      <w:r w:rsidRPr="00636EFB">
        <w:rPr>
          <w:rFonts w:ascii="彩虹粗仿宋" w:eastAsia="彩虹粗仿宋" w:hAnsi="宋体" w:cs="Arial"/>
          <w:color w:val="000000" w:themeColor="text1"/>
          <w:kern w:val="0"/>
          <w:sz w:val="24"/>
          <w:szCs w:val="24"/>
        </w:rPr>
        <w:t>30%</w:t>
      </w:r>
      <w:r w:rsidRPr="00636EFB">
        <w:rPr>
          <w:rFonts w:ascii="彩虹粗仿宋" w:eastAsia="彩虹粗仿宋" w:hAnsi="宋体" w:cs="Arial" w:hint="eastAsia"/>
          <w:color w:val="000000" w:themeColor="text1"/>
          <w:kern w:val="0"/>
          <w:sz w:val="24"/>
          <w:szCs w:val="24"/>
        </w:rPr>
        <w:t>；完全按照有关指数的构成比例进行证券投资的开放式基金以及中国证监会认定的特殊投资组合可不受前述比例限制；</w:t>
      </w:r>
    </w:p>
    <w:p w14:paraId="504B0E1F"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17</w:t>
      </w:r>
      <w:r w:rsidRPr="00636EFB">
        <w:rPr>
          <w:rFonts w:ascii="彩虹粗仿宋" w:eastAsia="彩虹粗仿宋" w:hAnsi="宋体" w:cs="Arial" w:hint="eastAsia"/>
          <w:color w:val="000000" w:themeColor="text1"/>
          <w:kern w:val="0"/>
          <w:sz w:val="24"/>
          <w:szCs w:val="24"/>
        </w:rPr>
        <w:t>）本基金主动投资于流动性受限资产的市值合计不得超过该基金资产净值的</w:t>
      </w:r>
      <w:r w:rsidRPr="00636EFB">
        <w:rPr>
          <w:rFonts w:ascii="彩虹粗仿宋" w:eastAsia="彩虹粗仿宋" w:hAnsi="宋体" w:cs="Arial"/>
          <w:color w:val="000000" w:themeColor="text1"/>
          <w:kern w:val="0"/>
          <w:sz w:val="24"/>
          <w:szCs w:val="24"/>
        </w:rPr>
        <w:t>15%</w:t>
      </w:r>
      <w:r w:rsidRPr="00636EFB">
        <w:rPr>
          <w:rFonts w:ascii="彩虹粗仿宋" w:eastAsia="彩虹粗仿宋" w:hAnsi="宋体" w:cs="Arial" w:hint="eastAsia"/>
          <w:color w:val="000000" w:themeColor="text1"/>
          <w:kern w:val="0"/>
          <w:sz w:val="24"/>
          <w:szCs w:val="24"/>
        </w:rPr>
        <w:t>；因证券</w:t>
      </w:r>
      <w:r w:rsidRPr="00636EFB">
        <w:rPr>
          <w:rFonts w:ascii="彩虹粗仿宋" w:eastAsia="彩虹粗仿宋" w:hAnsi="宋体" w:cs="Arial"/>
          <w:color w:val="000000" w:themeColor="text1"/>
          <w:kern w:val="0"/>
          <w:sz w:val="24"/>
          <w:szCs w:val="24"/>
        </w:rPr>
        <w:t>/</w:t>
      </w:r>
      <w:r w:rsidRPr="00636EFB">
        <w:rPr>
          <w:rFonts w:ascii="彩虹粗仿宋" w:eastAsia="彩虹粗仿宋" w:hAnsi="宋体" w:cs="Arial" w:hint="eastAsia"/>
          <w:color w:val="000000" w:themeColor="text1"/>
          <w:kern w:val="0"/>
          <w:sz w:val="24"/>
          <w:szCs w:val="24"/>
        </w:rPr>
        <w:t>期货市场波动、上市公司股票停牌、基金规模变动等基金管理人之外的因素致使基金不符合该比例限制的，基金管理人不得主动新增流动性受限资产的投资；</w:t>
      </w:r>
    </w:p>
    <w:p w14:paraId="5CBDD167" w14:textId="1958248A"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00B83194">
        <w:rPr>
          <w:rFonts w:ascii="彩虹粗仿宋" w:eastAsia="彩虹粗仿宋" w:hAnsi="宋体" w:cs="Arial"/>
          <w:color w:val="000000" w:themeColor="text1"/>
          <w:kern w:val="0"/>
          <w:sz w:val="24"/>
          <w:szCs w:val="24"/>
        </w:rPr>
        <w:t>18</w:t>
      </w:r>
      <w:r w:rsidRPr="00636EFB">
        <w:rPr>
          <w:rFonts w:ascii="彩虹粗仿宋" w:eastAsia="彩虹粗仿宋" w:hAnsi="宋体" w:cs="Arial" w:hint="eastAsia"/>
          <w:color w:val="000000" w:themeColor="text1"/>
          <w:kern w:val="0"/>
          <w:sz w:val="24"/>
          <w:szCs w:val="24"/>
        </w:rPr>
        <w:t>）本基金投资存托凭证的比例限制依照境内上市交易的股票执行，与境内上市交易的股票合并计算；</w:t>
      </w:r>
    </w:p>
    <w:p w14:paraId="79174BD5" w14:textId="14790DB9"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w:t>
      </w:r>
      <w:r w:rsidR="00B83194">
        <w:rPr>
          <w:rFonts w:ascii="彩虹粗仿宋" w:eastAsia="彩虹粗仿宋" w:hAnsi="宋体" w:cs="Arial"/>
          <w:color w:val="000000" w:themeColor="text1"/>
          <w:kern w:val="0"/>
          <w:sz w:val="24"/>
          <w:szCs w:val="24"/>
        </w:rPr>
        <w:t>19</w:t>
      </w:r>
      <w:r w:rsidRPr="00636EFB">
        <w:rPr>
          <w:rFonts w:ascii="彩虹粗仿宋" w:eastAsia="彩虹粗仿宋" w:hAnsi="宋体" w:cs="Arial" w:hint="eastAsia"/>
          <w:color w:val="000000" w:themeColor="text1"/>
          <w:kern w:val="0"/>
          <w:sz w:val="24"/>
          <w:szCs w:val="24"/>
        </w:rPr>
        <w:t>）法律法规及中国证监会规定的和《基金合同》约定的其他投资限制。</w:t>
      </w:r>
    </w:p>
    <w:p w14:paraId="21B86C2C" w14:textId="384755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除上述（</w:t>
      </w:r>
      <w:r w:rsidRPr="00636EFB">
        <w:rPr>
          <w:rFonts w:ascii="彩虹粗仿宋" w:eastAsia="彩虹粗仿宋" w:hAnsi="宋体" w:cs="Arial"/>
          <w:color w:val="000000" w:themeColor="text1"/>
          <w:kern w:val="0"/>
          <w:sz w:val="24"/>
          <w:szCs w:val="24"/>
        </w:rPr>
        <w:t>2</w:t>
      </w: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10</w:t>
      </w: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17</w:t>
      </w:r>
      <w:r w:rsidRPr="00636EFB">
        <w:rPr>
          <w:rFonts w:ascii="彩虹粗仿宋" w:eastAsia="彩虹粗仿宋" w:hAnsi="宋体" w:cs="Arial" w:hint="eastAsia"/>
          <w:color w:val="000000" w:themeColor="text1"/>
          <w:kern w:val="0"/>
          <w:sz w:val="24"/>
          <w:szCs w:val="24"/>
        </w:rPr>
        <w:t>）情形外，因证券</w:t>
      </w:r>
      <w:r w:rsidRPr="00636EFB">
        <w:rPr>
          <w:rFonts w:ascii="彩虹粗仿宋" w:eastAsia="彩虹粗仿宋" w:hAnsi="宋体" w:cs="Arial"/>
          <w:color w:val="000000" w:themeColor="text1"/>
          <w:kern w:val="0"/>
          <w:sz w:val="24"/>
          <w:szCs w:val="24"/>
        </w:rPr>
        <w:t>/</w:t>
      </w:r>
      <w:r w:rsidRPr="00636EFB">
        <w:rPr>
          <w:rFonts w:ascii="彩虹粗仿宋" w:eastAsia="彩虹粗仿宋" w:hAnsi="宋体" w:cs="Arial" w:hint="eastAsia"/>
          <w:color w:val="000000" w:themeColor="text1"/>
          <w:kern w:val="0"/>
          <w:sz w:val="24"/>
          <w:szCs w:val="24"/>
        </w:rPr>
        <w:t>期货市场波动、证券发行人合并、基金规模变动等基金管理人之外的因素致使基金投资比例不符合上述规定投资比例的，基金管理人应当在</w:t>
      </w:r>
      <w:r w:rsidRPr="00636EFB">
        <w:rPr>
          <w:rFonts w:ascii="彩虹粗仿宋" w:eastAsia="彩虹粗仿宋" w:hAnsi="宋体" w:cs="Arial"/>
          <w:color w:val="000000" w:themeColor="text1"/>
          <w:kern w:val="0"/>
          <w:sz w:val="24"/>
          <w:szCs w:val="24"/>
        </w:rPr>
        <w:t>10</w:t>
      </w:r>
      <w:r w:rsidRPr="00636EFB">
        <w:rPr>
          <w:rFonts w:ascii="彩虹粗仿宋" w:eastAsia="彩虹粗仿宋" w:hAnsi="宋体" w:cs="Arial" w:hint="eastAsia"/>
          <w:color w:val="000000" w:themeColor="text1"/>
          <w:kern w:val="0"/>
          <w:sz w:val="24"/>
          <w:szCs w:val="24"/>
        </w:rPr>
        <w:t>个交易日内进行调整，但中国证监会规定的特殊情形及法律法规另有规定的除外。</w:t>
      </w:r>
      <w:bookmarkEnd w:id="3"/>
    </w:p>
    <w:p w14:paraId="3B1AA488" w14:textId="710B61FE"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0826D95D"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当基金持有特定资产且存在或潜在大额赎回申请时，根据最大限度保护基金份额持有人利益的原则，基金管理人经与基金托管人协商一致，并咨询会计师事务所意见后，可以依照法律法规及基金合同的约定启用侧袋机制，无需召开基金份额持有人大会。</w:t>
      </w:r>
    </w:p>
    <w:p w14:paraId="556D8419"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侧袋机制实施期间，本部分约定的投资组合比例、组合限制等约定仅适用于主袋账户。</w:t>
      </w:r>
    </w:p>
    <w:p w14:paraId="65719F94"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侧袋机制的具体规则依照相关法律法规的规定和《基金合同》的约定执行。</w:t>
      </w:r>
    </w:p>
    <w:p w14:paraId="5303CB34"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（三）基金托管人</w:t>
      </w:r>
      <w:bookmarkStart w:id="4" w:name="OLE_LINK1"/>
      <w:r>
        <w:rPr>
          <w:rFonts w:ascii="彩虹粗仿宋" w:eastAsia="彩虹粗仿宋" w:hAnsi="宋体" w:cs="Arial" w:hint="eastAsia"/>
          <w:color w:val="000000" w:themeColor="text1"/>
          <w:kern w:val="0"/>
          <w:sz w:val="24"/>
          <w:szCs w:val="24"/>
        </w:rPr>
        <w:t>根据有关法律法规的规定及《基金合同》的约定，</w:t>
      </w:r>
      <w:bookmarkEnd w:id="4"/>
      <w:r>
        <w:rPr>
          <w:rFonts w:ascii="彩虹粗仿宋" w:eastAsia="彩虹粗仿宋" w:hAnsi="宋体" w:cs="Arial" w:hint="eastAsia"/>
          <w:color w:val="000000" w:themeColor="text1"/>
          <w:kern w:val="0"/>
          <w:sz w:val="24"/>
          <w:szCs w:val="24"/>
        </w:rPr>
        <w:t>对本托管协议第十五条第（十二）款基金投资禁止行为通过事后监督方式进行监督。</w:t>
      </w:r>
    </w:p>
    <w:p w14:paraId="53976CF2" w14:textId="5CBB4ADA"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w:t>
      </w:r>
    </w:p>
    <w:p w14:paraId="733B5EB2"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（四）基金托管人根据有关法律法规的规定及《基金合同》的约定，对基金管理人投资流通受限证券进行监督。</w:t>
      </w:r>
    </w:p>
    <w:p w14:paraId="47ACCA40"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基金管理人投资流通受限证券，应事先根据中国证监会相关规定，明确基金投资流通受限证券的比例，制订严格的投资决策流程和风险控制制度，防范流动性风险、法律风险和操作风险等各种风险。</w:t>
      </w:r>
    </w:p>
    <w:p w14:paraId="4AD7CF31"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本基金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14:paraId="543471C0"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本基金投资的流通受限证券限于可由中国证券登记结算有限责任公司或中央国债登记结算有限责任公司负责登记和存管，并可在证券交易所或全国银行间债券市场交易的证券。</w:t>
      </w:r>
    </w:p>
    <w:p w14:paraId="7AFCC29D"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14:paraId="4DC30881" w14:textId="18337785"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本基金投资流通受限证券，不得预付任何形式的保证金。若有最新法律法规、监管政策变更规定的，根据最新法律法规、监管政策执行。</w:t>
      </w:r>
    </w:p>
    <w:p w14:paraId="4E2A2649"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2.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w:t>
      </w:r>
    </w:p>
    <w:p w14:paraId="420BAE2A" w14:textId="1A7C17E4"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由基金管理人承担，</w:t>
      </w:r>
      <w:r>
        <w:rPr>
          <w:rFonts w:ascii="彩虹粗仿宋" w:eastAsia="彩虹粗仿宋" w:hint="eastAsia"/>
          <w:color w:val="000000" w:themeColor="text1"/>
          <w:sz w:val="24"/>
        </w:rPr>
        <w:t>基金托管人不承担</w:t>
      </w:r>
      <w:r w:rsidR="00E87039">
        <w:rPr>
          <w:rFonts w:ascii="彩虹粗仿宋" w:eastAsia="彩虹粗仿宋" w:hint="eastAsia"/>
          <w:color w:val="000000" w:themeColor="text1"/>
          <w:sz w:val="24"/>
        </w:rPr>
        <w:t>任何</w:t>
      </w:r>
      <w:r>
        <w:rPr>
          <w:rFonts w:ascii="彩虹粗仿宋" w:eastAsia="彩虹粗仿宋" w:hint="eastAsia"/>
          <w:color w:val="000000" w:themeColor="text1"/>
          <w:sz w:val="24"/>
        </w:rPr>
        <w:t>责任。</w:t>
      </w:r>
      <w:r>
        <w:rPr>
          <w:rFonts w:ascii="彩虹粗仿宋" w:eastAsia="彩虹粗仿宋" w:hAnsi="宋体" w:cs="Arial" w:hint="eastAsia"/>
          <w:color w:val="000000" w:themeColor="text1"/>
          <w:kern w:val="0"/>
          <w:sz w:val="24"/>
          <w:szCs w:val="24"/>
        </w:rPr>
        <w:t>如因基金管理人原因导致本基金出现损失致使基金托管人承担连带赔偿责任的，基金管理人应赔偿基金托管人由此遭受的损失。</w:t>
      </w:r>
    </w:p>
    <w:p w14:paraId="55254D75"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14:paraId="1319774B"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（1）中国证监会批准发行非公开发行股票的批准文件。</w:t>
      </w:r>
    </w:p>
    <w:p w14:paraId="53024067"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（2）非公开发行股票有关发行数量、发行价格、锁定期等发行资料。</w:t>
      </w:r>
    </w:p>
    <w:p w14:paraId="186D8630"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（3）基金拟认购的数量、价格、总成本、账面价值。</w:t>
      </w:r>
    </w:p>
    <w:p w14:paraId="3CC19FF4"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基金管理人应在本基金投资非公开发行股票后两个交易日内，在中国证监会规定媒介披露所投资非公开发行股票的名称、数量、总成本、账面价值，以及总成本和账面价值占基金资产净值的比例、锁定期等信息。</w:t>
      </w:r>
    </w:p>
    <w:p w14:paraId="6B22162D"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本基金有关投资流通受限证券比例如违反有关限制规定，在合理期限内未能进行及时调整，基金管理人应在两日内编制临时报告书，予以公告。</w:t>
      </w:r>
    </w:p>
    <w:p w14:paraId="15B9A194"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5.相关法律法规对基金投资流通受限证券有新规定的，从其规定。</w:t>
      </w:r>
    </w:p>
    <w:p w14:paraId="0D786D88"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五）基金托管人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p>
    <w:p w14:paraId="600EA7D0"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（六）</w:t>
      </w:r>
      <w:r w:rsidRPr="00636EFB">
        <w:rPr>
          <w:rFonts w:ascii="彩虹粗仿宋" w:eastAsia="彩虹粗仿宋" w:hAnsi="宋体" w:cs="Arial" w:hint="eastAsia"/>
          <w:color w:val="000000" w:themeColor="text1"/>
          <w:kern w:val="0"/>
          <w:sz w:val="24"/>
          <w:szCs w:val="24"/>
        </w:rPr>
        <w:t>基金托管人在充分获取所必需数据信息的前提下提供投资监督服务。基金托管人投资监督的准确性和完整性受限于基金管理人及其他中介机构提供的数据和信息，合规投资的最终责任在基金管理人。</w:t>
      </w:r>
    </w:p>
    <w:p w14:paraId="2D48B340" w14:textId="77777777" w:rsidR="00A818E6" w:rsidRPr="00636EFB"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根据交易规则，基金托管人仅能在事后发现的违规交易，基金托管人通过发送风险提示函的方式通知基金管理人，因基金管理人违规交易行为导致的受托财产损失由基金管理人承担赔偿责任。基金托管人按照法律法规和合同约定履行相关义务，基金托管人无投资责任，对任何基金管理人的投资行为</w:t>
      </w:r>
      <w:r w:rsidRPr="00636EFB">
        <w:rPr>
          <w:rFonts w:ascii="彩虹粗仿宋" w:eastAsia="彩虹粗仿宋" w:hAnsi="宋体" w:cs="Arial"/>
          <w:color w:val="000000" w:themeColor="text1"/>
          <w:kern w:val="0"/>
          <w:sz w:val="24"/>
          <w:szCs w:val="24"/>
        </w:rPr>
        <w:t>(包括但不限于其</w:t>
      </w:r>
      <w:r w:rsidRPr="00636EFB">
        <w:rPr>
          <w:rFonts w:ascii="彩虹粗仿宋" w:eastAsia="彩虹粗仿宋" w:hAnsi="宋体" w:cs="Arial"/>
          <w:color w:val="000000" w:themeColor="text1"/>
          <w:kern w:val="0"/>
          <w:sz w:val="24"/>
          <w:szCs w:val="24"/>
        </w:rPr>
        <w:lastRenderedPageBreak/>
        <w:t>投资策略及决定)或其投资回报不做承诺与担保。基金托管人不会因提供投资监督报告而对基金管理人违规投资承担责任。</w:t>
      </w:r>
    </w:p>
    <w:p w14:paraId="59116C2D" w14:textId="25AD3363"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（七）</w:t>
      </w:r>
      <w:r>
        <w:rPr>
          <w:rFonts w:ascii="彩虹粗仿宋" w:eastAsia="彩虹粗仿宋" w:hAnsi="宋体" w:cs="Arial" w:hint="eastAsia"/>
          <w:color w:val="000000" w:themeColor="text1"/>
          <w:kern w:val="0"/>
          <w:sz w:val="24"/>
          <w:szCs w:val="24"/>
        </w:rPr>
        <w:t>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14:paraId="0C6FD098" w14:textId="0D9C73C2"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八）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14:paraId="38A20D51" w14:textId="46118A1B"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（九）若基金托管人发现基金管理人依据交易程序已经生效的指令违反法律、行政法规和其他有关规定，或者违反《基金合同》约定的，应当及时通知基金管理人，由此造成的损失由基金管理人承担。</w:t>
      </w:r>
    </w:p>
    <w:p w14:paraId="3BE5BBCF" w14:textId="29A2C2F2"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十）基金托管人发现基金管理人有重大违规行为，应及时报告中国证监会，同时通知基金管理人限期纠正，并将纠正结果报告中国证监会。基金管理人无正当理由，拒绝、阻挠基金托管人根据本托管协议规定行使监督权，或采取拖延、欺诈等手段妨碍基金托管人进行有效监督，情节严重或经基金托管人提出警告仍不改正的，基金托管人应报告中国证监会。</w:t>
      </w:r>
    </w:p>
    <w:p w14:paraId="7762D6CD" w14:textId="77777777" w:rsidR="00A818E6" w:rsidRDefault="00A818E6">
      <w:pPr>
        <w:widowControl/>
        <w:adjustRightInd w:val="0"/>
        <w:snapToGrid w:val="0"/>
        <w:ind w:firstLineChars="200" w:firstLine="480"/>
        <w:rPr>
          <w:rFonts w:ascii="彩虹粗仿宋" w:eastAsia="彩虹粗仿宋" w:hAnsi="宋体" w:cs="Arial"/>
          <w:color w:val="000000" w:themeColor="text1"/>
          <w:kern w:val="0"/>
          <w:sz w:val="24"/>
          <w:szCs w:val="24"/>
        </w:rPr>
      </w:pPr>
    </w:p>
    <w:p w14:paraId="25D7782D" w14:textId="77777777" w:rsidR="00A818E6" w:rsidRDefault="008434C4">
      <w:pPr>
        <w:pStyle w:val="2"/>
        <w:jc w:val="center"/>
        <w:rPr>
          <w:rFonts w:ascii="彩虹粗仿宋" w:eastAsia="彩虹粗仿宋"/>
          <w:color w:val="000000" w:themeColor="text1"/>
        </w:rPr>
      </w:pPr>
      <w:bookmarkStart w:id="5" w:name="_Toc108512358"/>
      <w:bookmarkStart w:id="6" w:name="_Toc124325888"/>
      <w:bookmarkStart w:id="7" w:name="_Toc86737929"/>
      <w:bookmarkStart w:id="8" w:name="_Toc120435783"/>
      <w:bookmarkStart w:id="9" w:name="_Toc86727355"/>
      <w:bookmarkStart w:id="10" w:name="_Toc86649722"/>
      <w:bookmarkStart w:id="11" w:name="_Toc110765660"/>
      <w:bookmarkStart w:id="12" w:name="_Toc110761796"/>
      <w:bookmarkStart w:id="13" w:name="_Toc86726439"/>
      <w:bookmarkStart w:id="14" w:name="_Toc110830492"/>
      <w:bookmarkStart w:id="15" w:name="_Toc118212950"/>
      <w:bookmarkStart w:id="16" w:name="_Toc86225291"/>
      <w:bookmarkStart w:id="17" w:name="_Toc89163368"/>
      <w:bookmarkStart w:id="18" w:name="_Toc86223242"/>
      <w:bookmarkStart w:id="19" w:name="_Toc118774803"/>
      <w:bookmarkStart w:id="20" w:name="_Toc119402710"/>
      <w:bookmarkStart w:id="21" w:name="_Toc118972648"/>
      <w:r>
        <w:rPr>
          <w:rFonts w:ascii="彩虹粗仿宋" w:eastAsia="彩虹粗仿宋" w:hint="eastAsia"/>
          <w:color w:val="000000" w:themeColor="text1"/>
        </w:rPr>
        <w:t>四、基金管理人对基金托管人的业务核查</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562A1A02"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基金管理人对基金托管人履行托管职责情况进行核查，核查事项包括基金托管人安全保管基金财产、开设基金财产的资金账户和证券账户等投资所需账户、复核基金管理人计算的基金资产净值和各类基金份额净值、根据基金管理人指令办理清算交收、相关信息披露和监督基金投资运作等行为。</w:t>
      </w:r>
    </w:p>
    <w:p w14:paraId="28349964"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基金管理人发现基金托管人擅自挪用基金财产、未对基金财产实行分账管理、未执行或无故延迟执行基金管理人资金划拨指令、泄露基金投资信息等违反《基金法》、《基金合同》、本协议及其他有关规定时，应及时以电话提醒或书面提示等方式通知基金托管人限期纠正。基金托管人收到通知后应及时核对</w:t>
      </w:r>
      <w:r>
        <w:rPr>
          <w:rFonts w:ascii="彩虹粗仿宋" w:eastAsia="彩虹粗仿宋" w:hAnsi="宋体" w:cs="Arial" w:hint="eastAsia"/>
          <w:color w:val="000000" w:themeColor="text1"/>
          <w:kern w:val="0"/>
          <w:sz w:val="24"/>
          <w:szCs w:val="24"/>
        </w:rPr>
        <w:lastRenderedPageBreak/>
        <w:t>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14:paraId="04ED62EE" w14:textId="5993AF7D"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基金管理人发现基金托管人有重大违规行为，应及时报告中国证监会，同时通知基金托管人限期纠正，并将纠正结果报告中国证监会。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21F8F085" w14:textId="77777777" w:rsidR="00A818E6" w:rsidRDefault="00A818E6">
      <w:pPr>
        <w:widowControl/>
        <w:adjustRightInd w:val="0"/>
        <w:snapToGrid w:val="0"/>
        <w:ind w:firstLineChars="200" w:firstLine="480"/>
        <w:rPr>
          <w:rFonts w:ascii="彩虹粗仿宋" w:eastAsia="彩虹粗仿宋" w:hAnsi="宋体" w:cs="Arial"/>
          <w:color w:val="000000" w:themeColor="text1"/>
          <w:kern w:val="0"/>
          <w:sz w:val="24"/>
          <w:szCs w:val="24"/>
        </w:rPr>
      </w:pPr>
    </w:p>
    <w:p w14:paraId="662FF0A9" w14:textId="77777777" w:rsidR="00A818E6" w:rsidRDefault="008434C4">
      <w:pPr>
        <w:pStyle w:val="2"/>
        <w:jc w:val="center"/>
        <w:rPr>
          <w:rFonts w:ascii="彩虹粗仿宋" w:eastAsia="彩虹粗仿宋"/>
          <w:color w:val="000000" w:themeColor="text1"/>
        </w:rPr>
      </w:pPr>
      <w:bookmarkStart w:id="22" w:name="_Toc89163369"/>
      <w:bookmarkStart w:id="23" w:name="_Toc86204789"/>
      <w:bookmarkStart w:id="24" w:name="_Toc84234388"/>
      <w:bookmarkStart w:id="25" w:name="_Toc86649723"/>
      <w:bookmarkStart w:id="26" w:name="_Toc86737930"/>
      <w:bookmarkStart w:id="27" w:name="_Toc110761797"/>
      <w:bookmarkStart w:id="28" w:name="_Toc124325889"/>
      <w:bookmarkStart w:id="29" w:name="_Toc84234435"/>
      <w:bookmarkStart w:id="30" w:name="_Toc120435784"/>
      <w:bookmarkStart w:id="31" w:name="_Toc119402711"/>
      <w:bookmarkStart w:id="32" w:name="_Toc86727356"/>
      <w:bookmarkStart w:id="33" w:name="_Toc84133786"/>
      <w:bookmarkStart w:id="34" w:name="_Toc118774804"/>
      <w:bookmarkStart w:id="35" w:name="_Toc108512359"/>
      <w:bookmarkStart w:id="36" w:name="_Toc118972649"/>
      <w:bookmarkStart w:id="37" w:name="_Toc118212951"/>
      <w:bookmarkStart w:id="38" w:name="_Toc110830493"/>
      <w:bookmarkStart w:id="39" w:name="_Toc110765661"/>
      <w:bookmarkStart w:id="40" w:name="_Toc86726440"/>
      <w:bookmarkStart w:id="41" w:name="_Toc86223243"/>
      <w:bookmarkStart w:id="42" w:name="_Toc86225292"/>
      <w:r>
        <w:rPr>
          <w:rFonts w:ascii="彩虹粗仿宋" w:eastAsia="彩虹粗仿宋" w:hint="eastAsia"/>
          <w:color w:val="000000" w:themeColor="text1"/>
        </w:rPr>
        <w:t>五、基金财产的保管</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58307522"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（一）基金财产保管的原则</w:t>
      </w:r>
    </w:p>
    <w:p w14:paraId="560A8F36"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1.基金财产应独立于基金管理人、基金托管人的固有财产。</w:t>
      </w:r>
    </w:p>
    <w:p w14:paraId="6E25001A"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2.基金托管人应安全保管基金财产。</w:t>
      </w:r>
    </w:p>
    <w:p w14:paraId="1C81DE75"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3.基金托管人按照规定开设基金财产的资金账户和证券账户等投资所需账户。</w:t>
      </w:r>
    </w:p>
    <w:p w14:paraId="3D3FEF78"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4.基金托管人对所托管的不同基金财产分别设置账户，分账管理，独立核算，确保基金财产的完整与独立。</w:t>
      </w:r>
    </w:p>
    <w:p w14:paraId="58D29493"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5.基金托管人按照《基金合同》和本协议的约定保管基金财产，如有特殊情况双方可另行协商解决。基金托管人未经基金管理人的指令，不得自行运用、处分、分配本基金的任何资产（不包含基金托管人依据中国证券登记结算有限责任公司结算数据完成场内交易交收、开户银行或交易/登记结算机构扣收交易费、结算费和账户维护费等费用）。</w:t>
      </w:r>
    </w:p>
    <w:p w14:paraId="219ABE45" w14:textId="164A749A"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w:t>
      </w:r>
      <w:r w:rsidR="00E87039">
        <w:rPr>
          <w:rFonts w:ascii="彩虹粗仿宋" w:eastAsia="彩虹粗仿宋" w:hAnsi="宋体" w:cs="Arial" w:hint="eastAsia"/>
          <w:color w:val="000000" w:themeColor="text1"/>
          <w:kern w:val="0"/>
          <w:sz w:val="24"/>
          <w:szCs w:val="24"/>
        </w:rPr>
        <w:t>任何</w:t>
      </w:r>
      <w:r>
        <w:rPr>
          <w:rFonts w:ascii="彩虹粗仿宋" w:eastAsia="彩虹粗仿宋" w:hAnsi="宋体" w:cs="Arial" w:hint="eastAsia"/>
          <w:color w:val="000000" w:themeColor="text1"/>
          <w:kern w:val="0"/>
          <w:sz w:val="24"/>
          <w:szCs w:val="24"/>
        </w:rPr>
        <w:t>责任，但应给予积极的配合和协助。</w:t>
      </w:r>
    </w:p>
    <w:p w14:paraId="48822200"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7.除依据法律法规和《基金合同》的规定外，基金托管人不得委托第三人托管基金财产。</w:t>
      </w:r>
    </w:p>
    <w:p w14:paraId="435F3809"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（二）基金募集期间及募集资金的验资</w:t>
      </w:r>
    </w:p>
    <w:p w14:paraId="36F58989"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1.基金募集期间募集的资金应存于基金管理人在基金托管人的营业机构开立的“基金募集专户”。该账户由基金管理人开立并管理。</w:t>
      </w:r>
    </w:p>
    <w:p w14:paraId="04AA2590"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2.基金募集期满或基金停止募集时，发起资金提供方持有的基金份额、承诺持有的期限符合《基金法》、《公开募集证券投资基金运作管理办法》（以下简称“《运作办法》”）等有关规定后，基金管理人应将属于基金财产的全部资金划入基金托管人开立的基金托管资金账户，同时在规定时间内，聘请符合《中华人民共和国证券法》规定的会计师事务所进行验资，出具验资报告，验资机构应在验资报告中对发起资金的持有人及其持有份额进行专门说明。出具的验资报告由参加验资的2名或2名以上中国注册会计师签字方为有效。</w:t>
      </w:r>
    </w:p>
    <w:p w14:paraId="0E6FC228"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3.若基金募集期限届满，未能达到《基金合同》生效的条件，由基金管理人按规定办理退款等事宜，基金托管人应提供必要的配合。</w:t>
      </w:r>
    </w:p>
    <w:p w14:paraId="70783EE3"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（三）基金托管资金账户的开立和管理</w:t>
      </w:r>
    </w:p>
    <w:p w14:paraId="501179CF"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托管人应以基金的名义在其营业机构开立基金的托管资金账户，并根据基金管理人合法合规的指令办理资金收付。户名原则上应当包含开户主体和产品名称字样。如法律法规或监管部门另有规定的，从其规定。本基金的银行预留印鉴</w:t>
      </w:r>
      <w:r>
        <w:rPr>
          <w:rFonts w:ascii="彩虹粗仿宋" w:eastAsia="彩虹粗仿宋" w:hAnsi="宋体" w:cs="Arial" w:hint="eastAsia"/>
          <w:color w:val="000000" w:themeColor="text1"/>
          <w:sz w:val="24"/>
        </w:rPr>
        <w:t>由基金托管人保管和使用</w:t>
      </w:r>
      <w:r>
        <w:rPr>
          <w:rFonts w:ascii="彩虹粗仿宋" w:eastAsia="彩虹粗仿宋" w:hAnsi="宋体" w:cs="Arial" w:hint="eastAsia"/>
          <w:color w:val="000000" w:themeColor="text1"/>
          <w:kern w:val="0"/>
          <w:sz w:val="24"/>
          <w:szCs w:val="24"/>
        </w:rPr>
        <w:t>。</w:t>
      </w:r>
    </w:p>
    <w:p w14:paraId="497AD10A"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2.基金托管资金账户的开立和使用，限于满足开展本基金业务的需要。基金托管人和基金管理人不得假借本基金的名义开立任何其他银行账户；亦不得使用基金的任何账户进行本基金业务以外的活动。</w:t>
      </w:r>
    </w:p>
    <w:p w14:paraId="07B25A7B"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3.基金托管资金账户的开立和管理应符合银行业监督管理机构的有关规定。</w:t>
      </w:r>
    </w:p>
    <w:p w14:paraId="6045DF19"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4.在符合法律法规规定的条件下，基金托管人可以通过基金托管人专用账户办理基金资产的支付。</w:t>
      </w:r>
    </w:p>
    <w:p w14:paraId="738CA7AF"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5.基金管理人应于托管产品清盘后及时完成收益兑付、费用结清及其他应收应付款项资金划转，在确保后续不再发生款项进出后的10个工作日内向托管人发出销户申请。</w:t>
      </w:r>
    </w:p>
    <w:p w14:paraId="7609CA19"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（四）基金证券账户和结算备付金账户的开立和管理</w:t>
      </w:r>
    </w:p>
    <w:p w14:paraId="709B2614"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1.基金托管人在中国证券登记结算有限责任公司为基金开立基金托管人与基金联名的证券账户。</w:t>
      </w:r>
    </w:p>
    <w:p w14:paraId="0B10B6FE"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2.基金证券账户的开立和使用，仅限于满足开展本基金业务的需要。基金托管人和基金管理人不得出借或未经对方同意擅自转让基金的任何证券账户，亦不得使用基金的任何账户进行本基金业务以外的活动。</w:t>
      </w:r>
    </w:p>
    <w:p w14:paraId="1B48ED24"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3.基金证券账户的开立和证券账户卡的保管由基金托管人负责，账户资产的管理和运用由基金管理人负责。</w:t>
      </w:r>
    </w:p>
    <w:p w14:paraId="57BE40C3"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证券账户开户费由基金管理人先行垫付,待托管产品启始运营后,基金管理人可向基金托管人发送划款指令,将代垫开户费从本基金托管资金账户中扣还基金管理人。</w:t>
      </w:r>
    </w:p>
    <w:p w14:paraId="38C76C01"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4.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14:paraId="5587432B"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5.账户注销时，在遵守中国证券登记结算有限责任公司的相关规定下，由管理人和托管人协商确认主要办理人。账户注销期间，主要办理人如需另一方提供配合的，另一方应予以配合。</w:t>
      </w:r>
    </w:p>
    <w:p w14:paraId="4128BC89"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6.若中国证监会或其他监管机构在本托管协议订立日之后允许基金从事其他投资品种的投资业务，涉及相关账户的开立、使用的，若无相关规定，则基金托管人比照上述关于账户开立、使用的规定执行。</w:t>
      </w:r>
    </w:p>
    <w:p w14:paraId="52D5AD88"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（五）银行间账户的开设和管理</w:t>
      </w:r>
    </w:p>
    <w:p w14:paraId="6A6F2B79"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和资金结算专户，并代表基金进行银行间市场债券的结算。基金管理人代表基金签订全国银行间债券市场债券回购主协议。</w:t>
      </w:r>
    </w:p>
    <w:p w14:paraId="547FF7B0" w14:textId="74CB74C3"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（七）其他账户的开立和管理</w:t>
      </w:r>
    </w:p>
    <w:p w14:paraId="4C4DFB85"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在本托管协议订立日之后，本基金被允许从事符合法律法规规定和《基金合同》约定的其他投资品种的投资业务时，如果涉及相关账户的开设和使用，由基金管理人协助基金托管人根据有关法律法规的规定和《基金合同》的约定，开立有关账户。该账户按有关规则使用并管理。</w:t>
      </w:r>
    </w:p>
    <w:p w14:paraId="66B6FC53"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2.法律法规等有关规定对相关账户的开立和管理另有规定的，从其规定办理。</w:t>
      </w:r>
    </w:p>
    <w:p w14:paraId="14FAE248"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（八）基金财产投资的有关有价凭证等的保管</w:t>
      </w:r>
    </w:p>
    <w:p w14:paraId="77C7ADBC" w14:textId="318828D1"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基金财产投资的有关实物证券、银行存款开户证实书等有价凭证由基金托管人存放于基金托管人的保管库，也可存入</w:t>
      </w:r>
      <w:r>
        <w:rPr>
          <w:rFonts w:ascii="彩虹粗仿宋" w:eastAsia="彩虹粗仿宋" w:hAnsi="宋体" w:cs="Arial" w:hint="eastAsia"/>
          <w:color w:val="000000" w:themeColor="text1"/>
          <w:sz w:val="24"/>
        </w:rPr>
        <w:t>法律法规有关规定允许的各类</w:t>
      </w:r>
      <w:r>
        <w:rPr>
          <w:rFonts w:ascii="彩虹粗仿宋" w:eastAsia="彩虹粗仿宋" w:hAnsi="宋体" w:cs="Arial" w:hint="eastAsia"/>
          <w:color w:val="000000" w:themeColor="text1"/>
          <w:kern w:val="0"/>
          <w:sz w:val="24"/>
          <w:szCs w:val="24"/>
        </w:rPr>
        <w:t>代保管库，保管凭证由基金托管人持有。实物证券、银行定期存款证实书等有价凭证的购买和转让，按基金管理人和基金托管人双方约定办理。基金托管人对由基金托管人以外机构实际有效控制或保管的资产不承担</w:t>
      </w:r>
      <w:r w:rsidR="00BA624F">
        <w:rPr>
          <w:rFonts w:ascii="彩虹粗仿宋" w:eastAsia="彩虹粗仿宋" w:hAnsi="宋体" w:cs="Arial" w:hint="eastAsia"/>
          <w:color w:val="000000" w:themeColor="text1"/>
          <w:kern w:val="0"/>
          <w:sz w:val="24"/>
          <w:szCs w:val="24"/>
        </w:rPr>
        <w:t>任何</w:t>
      </w:r>
      <w:r>
        <w:rPr>
          <w:rFonts w:ascii="彩虹粗仿宋" w:eastAsia="彩虹粗仿宋" w:hAnsi="宋体" w:cs="Arial" w:hint="eastAsia"/>
          <w:color w:val="000000" w:themeColor="text1"/>
          <w:kern w:val="0"/>
          <w:sz w:val="24"/>
          <w:szCs w:val="24"/>
        </w:rPr>
        <w:t>责任。</w:t>
      </w:r>
    </w:p>
    <w:p w14:paraId="4260ED5F"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（九）与基金财产有关的重大合同的保管</w:t>
      </w:r>
    </w:p>
    <w:p w14:paraId="1B7F3AE4" w14:textId="4F92AA66"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尽量保证基金管理人和基金托管人至少各持有一份正</w:t>
      </w:r>
      <w:r>
        <w:rPr>
          <w:rFonts w:ascii="彩虹粗仿宋" w:eastAsia="彩虹粗仿宋" w:hAnsi="宋体" w:cs="Arial" w:hint="eastAsia"/>
          <w:color w:val="000000" w:themeColor="text1"/>
          <w:kern w:val="0"/>
          <w:sz w:val="24"/>
          <w:szCs w:val="24"/>
        </w:rPr>
        <w:lastRenderedPageBreak/>
        <w:t>本的原件。基金管理人应在重大合同签署后及时以加密方式或双方同意的其他方式将重大合同传真给基金托管人，并在三十个工作日内将正本送达基金托管人处。重大合同的保管期限</w:t>
      </w:r>
      <w:r w:rsidR="00BA624F" w:rsidRPr="00BA624F">
        <w:rPr>
          <w:rFonts w:ascii="彩虹粗仿宋" w:eastAsia="彩虹粗仿宋" w:hAnsi="宋体" w:cs="Arial" w:hint="eastAsia"/>
          <w:color w:val="000000" w:themeColor="text1"/>
          <w:kern w:val="0"/>
          <w:sz w:val="24"/>
          <w:szCs w:val="24"/>
        </w:rPr>
        <w:t>按照法律法规的规定执行</w:t>
      </w:r>
      <w:r>
        <w:rPr>
          <w:rFonts w:ascii="彩虹粗仿宋" w:eastAsia="彩虹粗仿宋" w:hAnsi="宋体" w:cs="Arial" w:hint="eastAsia"/>
          <w:color w:val="000000" w:themeColor="text1"/>
          <w:kern w:val="0"/>
          <w:sz w:val="24"/>
          <w:szCs w:val="24"/>
        </w:rPr>
        <w:t>。</w:t>
      </w:r>
    </w:p>
    <w:p w14:paraId="7B030D73"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对于无法取得二份以上的正本的，基金管理人应向基金托管人提供加盖授权业务章的合同复印件或传真件，未经双方协商或未在合同约定范围内，合同原件不得转移。</w:t>
      </w:r>
    </w:p>
    <w:p w14:paraId="3F27DFB3" w14:textId="77777777" w:rsidR="00A818E6" w:rsidRDefault="00A818E6">
      <w:pPr>
        <w:rPr>
          <w:rFonts w:ascii="宋体" w:eastAsia="宋体" w:hAnsi="宋体"/>
          <w:color w:val="000000" w:themeColor="text1"/>
          <w:sz w:val="24"/>
        </w:rPr>
      </w:pPr>
    </w:p>
    <w:p w14:paraId="77BDB7A8" w14:textId="77777777" w:rsidR="00A818E6" w:rsidRDefault="008434C4">
      <w:pPr>
        <w:pStyle w:val="2"/>
        <w:jc w:val="center"/>
        <w:rPr>
          <w:rFonts w:ascii="彩虹粗仿宋" w:eastAsia="彩虹粗仿宋"/>
          <w:color w:val="000000" w:themeColor="text1"/>
        </w:rPr>
      </w:pPr>
      <w:bookmarkStart w:id="43" w:name="_Toc120435785"/>
      <w:bookmarkStart w:id="44" w:name="_Toc84234389"/>
      <w:bookmarkStart w:id="45" w:name="_Toc86649724"/>
      <w:bookmarkStart w:id="46" w:name="_Toc84234436"/>
      <w:bookmarkStart w:id="47" w:name="_Toc108512360"/>
      <w:bookmarkStart w:id="48" w:name="_Toc118212952"/>
      <w:bookmarkStart w:id="49" w:name="_Toc110765662"/>
      <w:bookmarkStart w:id="50" w:name="_Toc86727357"/>
      <w:bookmarkStart w:id="51" w:name="_Toc89163370"/>
      <w:bookmarkStart w:id="52" w:name="_Toc86223244"/>
      <w:bookmarkStart w:id="53" w:name="_Toc110761798"/>
      <w:bookmarkStart w:id="54" w:name="_Toc118972650"/>
      <w:bookmarkStart w:id="55" w:name="_Toc124325890"/>
      <w:bookmarkStart w:id="56" w:name="_Toc86204790"/>
      <w:bookmarkStart w:id="57" w:name="_Toc86225293"/>
      <w:bookmarkStart w:id="58" w:name="_Toc110830494"/>
      <w:bookmarkStart w:id="59" w:name="_Toc84133787"/>
      <w:bookmarkStart w:id="60" w:name="_Toc86737931"/>
      <w:bookmarkStart w:id="61" w:name="_Toc86726441"/>
      <w:bookmarkStart w:id="62" w:name="_Toc118774805"/>
      <w:bookmarkStart w:id="63" w:name="_Toc119402712"/>
      <w:r>
        <w:rPr>
          <w:rFonts w:ascii="彩虹粗仿宋" w:eastAsia="彩虹粗仿宋" w:hint="eastAsia"/>
          <w:color w:val="000000" w:themeColor="text1"/>
        </w:rPr>
        <w:t>六、指令的发送、确认及执行</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443B9BDF"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基金管理人在运用基金财产时向基金托管人发送资金划拨及其他款项付款指令，基金托管人执行基金管理人的指令、办理基金名下的资金往来等有关事项。</w:t>
      </w:r>
    </w:p>
    <w:p w14:paraId="3DD78CF5"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（一）基金管理人对发送指令人员的书面授权</w:t>
      </w:r>
    </w:p>
    <w:p w14:paraId="11476FC5" w14:textId="489FE80A"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本</w:t>
      </w:r>
      <w:r>
        <w:rPr>
          <w:rFonts w:ascii="彩虹粗仿宋" w:eastAsia="彩虹粗仿宋" w:hAnsi="宋体" w:cs="Arial" w:hint="eastAsia"/>
          <w:color w:val="000000" w:themeColor="text1"/>
          <w:kern w:val="0"/>
          <w:sz w:val="24"/>
          <w:szCs w:val="24"/>
        </w:rPr>
        <w:t>协议</w:t>
      </w:r>
      <w:r w:rsidRPr="00636EFB">
        <w:rPr>
          <w:rFonts w:ascii="彩虹粗仿宋" w:eastAsia="彩虹粗仿宋" w:hAnsi="宋体" w:cs="Arial" w:hint="eastAsia"/>
          <w:color w:val="000000" w:themeColor="text1"/>
          <w:kern w:val="0"/>
          <w:sz w:val="24"/>
          <w:szCs w:val="24"/>
        </w:rPr>
        <w:t>签署生效后，管理人应向托管人提供授权代表签字与印鉴样本通知书（以下简称“授权文件”），内容包括被授权人名单、预留印鉴及被授权人签字样本，授权文件应注明被授权人相应的权限，授权文件应加盖单位公章。</w:t>
      </w:r>
    </w:p>
    <w:p w14:paraId="7C978718"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管理人应将“授权文件”原件在生效前寄送托管人，托管人在收到授权文件原件并经管理人确认后，授权文件即生效。如果授权文件中载明具体生效时间的，该生效时间不得早于托管人收到授权文件并经确认的时点。如早于，则以托管人收到授权文件并经确认的时点为授权文件的生效时间。</w:t>
      </w:r>
    </w:p>
    <w:p w14:paraId="5C269C34"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特殊情况下，经托管人同意，管理人可至少提前一个工作日将授权文件以邮件发送扫描件的方式先行通知托管人并确认生效。授权文件原件应在邮件发送后</w:t>
      </w:r>
      <w:r w:rsidRPr="00636EFB">
        <w:rPr>
          <w:rFonts w:ascii="彩虹粗仿宋" w:eastAsia="彩虹粗仿宋" w:hAnsi="宋体" w:cs="Arial"/>
          <w:color w:val="000000" w:themeColor="text1"/>
          <w:kern w:val="0"/>
          <w:sz w:val="24"/>
          <w:szCs w:val="24"/>
        </w:rPr>
        <w:t>7个工作日内送达托管人。授权文件生效之后，原件送达之前，托管人按照新授权文件扫描件内容执行有关业务，如果授权文件原件与托管人收到的扫描件不同，由此产生的责任由管理人承担。</w:t>
      </w:r>
    </w:p>
    <w:p w14:paraId="504353BA"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管理人更换被授权人、更改或终止对被授权人的授权、变更预留印鉴应按上述要求提供新的授权文件。在授权变更生效前，托管人仍应按原授权文件执行指令，管理人不得否认其效力。</w:t>
      </w:r>
    </w:p>
    <w:p w14:paraId="41EFE26F" w14:textId="77777777" w:rsidR="00A818E6" w:rsidRPr="00636EFB" w:rsidRDefault="008434C4" w:rsidP="00636EFB">
      <w:pPr>
        <w:widowControl/>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托管人更换接受管理人指令的传真号或邮箱地址，应提前通知管理人。</w:t>
      </w:r>
    </w:p>
    <w:p w14:paraId="450B7A62" w14:textId="5195A3F4"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基金管理人和基金托管人对授权文件负有保密义务，其内容不得向被授权人及相关操作人员以外的任何人泄露。但法律法规规定或有权机关要求的除外。</w:t>
      </w:r>
    </w:p>
    <w:p w14:paraId="6462E0AF"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（二）指令的内容</w:t>
      </w:r>
    </w:p>
    <w:p w14:paraId="405286AC"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1.指令包括付款指令以及其他资金划拨指令等。</w:t>
      </w:r>
    </w:p>
    <w:p w14:paraId="390539F2"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2.基金管理人发给基金托管人的指令应写明款项事由、支付时间、到账时间、金额、收付款账户等，加盖预留印鉴并由被授权人签字。</w:t>
      </w:r>
    </w:p>
    <w:p w14:paraId="188CBB01"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（三）指令的发送、确认及执行的时间和程序</w:t>
      </w:r>
    </w:p>
    <w:p w14:paraId="69EED0C7"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1.指令的发送</w:t>
      </w:r>
    </w:p>
    <w:p w14:paraId="09CC6413"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基金管理人发送指令应采用传真方式或双方协商一致的其他方式。</w:t>
      </w:r>
    </w:p>
    <w:p w14:paraId="0127D119"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14:paraId="6F8D554A"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指令发出后，基金管理人应及时以电话方式向基金托管人确认。</w:t>
      </w:r>
    </w:p>
    <w:p w14:paraId="1C0DF458"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应在银行间交易成交后，及时将通知单、相关文件及划款指令加盖印章后发至基金托管人并电话确认，由基金托管人完成后台交易匹配及资金交收事宜。如果银行间结算系统已经生成的交易需要取消或终止，基金管理人要书面通知基金托管人。</w:t>
      </w:r>
    </w:p>
    <w:p w14:paraId="5E6387BE"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2.指令的确认</w:t>
      </w:r>
    </w:p>
    <w:p w14:paraId="2B5B7192"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14:paraId="6E20B6F1"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3.指令的时间和执行</w:t>
      </w:r>
    </w:p>
    <w:p w14:paraId="781731A2"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尽量于划款前1个工作日向基金托管人发送指令并确认。对于要求当天到账的指令，必须在当天15:30前向基金托管人发送，15:30之后发送的，基金托管人尽力执行，但不能保证划账成功。如果要求当天某一时点到账的指令，则指令需要提前2个工作小时发送，并且相关付款条件已经具备。基金托管人将视付款条件具备时为指令送达时间。对新股申购网下发行业务，基金管理人应在网下申购缴款日(T日)的前一工作日下班前将指令发送给基金托管人，指令发送时间最迟不应晚于T日上午10:00。基金管理人应确保基金托管人在执行指令时，基金托管资金账户有足够的资金余额，在基金资金头寸充足的情况下，基金托管人对基金管理人符合法律法规、《基金合同》、本协议的指令不得拖延或拒绝执行。</w:t>
      </w:r>
    </w:p>
    <w:p w14:paraId="2CD81E3F"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（四）基金管理人发送错误指令的情形和处理程序</w:t>
      </w:r>
    </w:p>
    <w:p w14:paraId="7A0D1D3E"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基金管理人发送错误指令的情形包括指令违反法律法规</w:t>
      </w:r>
      <w:r>
        <w:rPr>
          <w:rFonts w:ascii="彩虹粗仿宋" w:eastAsia="彩虹粗仿宋" w:hAnsi="宋体" w:cs="Arial" w:hint="eastAsia"/>
          <w:color w:val="000000" w:themeColor="text1"/>
          <w:sz w:val="24"/>
        </w:rPr>
        <w:t>、监管规定、</w:t>
      </w:r>
      <w:r>
        <w:rPr>
          <w:rFonts w:ascii="彩虹粗仿宋" w:eastAsia="彩虹粗仿宋" w:hAnsi="宋体" w:cs="Arial" w:hint="eastAsia"/>
          <w:color w:val="000000" w:themeColor="text1"/>
          <w:kern w:val="0"/>
          <w:sz w:val="24"/>
          <w:szCs w:val="24"/>
        </w:rPr>
        <w:t>《基金合同》</w:t>
      </w:r>
      <w:r>
        <w:rPr>
          <w:rFonts w:ascii="彩虹粗仿宋" w:eastAsia="彩虹粗仿宋" w:hAnsi="宋体" w:cs="Arial" w:hint="eastAsia"/>
          <w:color w:val="000000" w:themeColor="text1"/>
          <w:sz w:val="24"/>
        </w:rPr>
        <w:t>或本协议的约定</w:t>
      </w:r>
      <w:r>
        <w:rPr>
          <w:rFonts w:ascii="彩虹粗仿宋" w:eastAsia="彩虹粗仿宋" w:hAnsi="宋体" w:cs="Arial" w:hint="eastAsia"/>
          <w:color w:val="000000" w:themeColor="text1"/>
          <w:kern w:val="0"/>
          <w:sz w:val="24"/>
          <w:szCs w:val="24"/>
        </w:rPr>
        <w:t>，或指令发送人员无权或超越权限发送指令。</w:t>
      </w:r>
    </w:p>
    <w:p w14:paraId="6427C2DD" w14:textId="77777777" w:rsidR="00A818E6" w:rsidRDefault="008434C4">
      <w:pPr>
        <w:widowControl/>
        <w:adjustRightInd w:val="0"/>
        <w:snapToGrid w:val="0"/>
        <w:ind w:firstLineChars="200" w:firstLine="480"/>
        <w:rPr>
          <w:rStyle w:val="af6"/>
          <w:rFonts w:ascii="Times New Roman" w:eastAsia="宋体" w:hAnsi="Times New Roman" w:cs="Times New Roman"/>
          <w:color w:val="000000" w:themeColor="text1"/>
        </w:rPr>
      </w:pPr>
      <w:r>
        <w:rPr>
          <w:rFonts w:ascii="彩虹粗仿宋" w:eastAsia="彩虹粗仿宋" w:hAnsi="宋体" w:cs="Arial" w:hint="eastAsia"/>
          <w:color w:val="000000" w:themeColor="text1"/>
          <w:kern w:val="0"/>
          <w:sz w:val="24"/>
          <w:szCs w:val="24"/>
        </w:rPr>
        <w:lastRenderedPageBreak/>
        <w:t>基金托管人发现基金管理人的指令错误时，有权视情况暂缓或拒绝执行，并及时通知基金管理人改正。</w:t>
      </w:r>
      <w:r>
        <w:rPr>
          <w:rFonts w:ascii="彩虹粗仿宋" w:eastAsia="彩虹粗仿宋" w:hAnsi="宋体" w:cs="Arial" w:hint="eastAsia"/>
          <w:color w:val="000000" w:themeColor="text1"/>
          <w:sz w:val="24"/>
        </w:rPr>
        <w:t>如需托管人撤销尚未执行的指令，基金管理人应出具作废指令或作废说明，并电话通知托管人。</w:t>
      </w:r>
    </w:p>
    <w:p w14:paraId="646B957D"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（五）基金托管人未按照基金管理人指令执行的处理方法</w:t>
      </w:r>
    </w:p>
    <w:p w14:paraId="0E52CA42"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基金托管人由于自身过错，未按照基金管理人发送的</w:t>
      </w:r>
      <w:r>
        <w:rPr>
          <w:rFonts w:ascii="彩虹粗仿宋" w:eastAsia="彩虹粗仿宋" w:hAnsi="宋体" w:cs="Arial" w:hint="eastAsia"/>
          <w:color w:val="000000" w:themeColor="text1"/>
          <w:sz w:val="24"/>
        </w:rPr>
        <w:t>符合法律法规、监管规定、《基金合同》和本协议约定的</w:t>
      </w:r>
      <w:r>
        <w:rPr>
          <w:rFonts w:ascii="彩虹粗仿宋" w:eastAsia="彩虹粗仿宋" w:hAnsi="宋体" w:cs="Arial" w:hint="eastAsia"/>
          <w:color w:val="000000" w:themeColor="text1"/>
          <w:kern w:val="0"/>
          <w:sz w:val="24"/>
          <w:szCs w:val="24"/>
        </w:rPr>
        <w:t>指令执行并对基金财产或投资人造成的直接损失，由基金托管人赔偿由此造成的直接损失。</w:t>
      </w:r>
    </w:p>
    <w:p w14:paraId="638470FD" w14:textId="2E368A21"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（六）其他事项</w:t>
      </w:r>
    </w:p>
    <w:p w14:paraId="6AEF7878"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托管人在接收指令时，应对指令的要素是否齐全、印鉴与被授权人是否与预留的授权文件内容表面相符进行检查，如发现问题，应及时报告基金管理人，基金托管人对正确执行基金管理人的有效指令对基金财产造成的损失不承担赔偿责任。</w:t>
      </w:r>
    </w:p>
    <w:p w14:paraId="7FED7645" w14:textId="77777777" w:rsidR="00A818E6" w:rsidRDefault="008434C4">
      <w:pPr>
        <w:widowControl/>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基金参与认购未上市债券时，基金管理人应代表本基金与对手方签署相关合同或协议，明确约定债券过户具体事宜。否则，基金管理人需对所认购债券的过户事宜承担相应责任。</w:t>
      </w:r>
    </w:p>
    <w:p w14:paraId="53DF3DCF" w14:textId="77777777" w:rsidR="00A818E6" w:rsidRDefault="008434C4">
      <w:pPr>
        <w:pStyle w:val="2"/>
        <w:jc w:val="center"/>
        <w:rPr>
          <w:rFonts w:ascii="彩虹粗仿宋" w:eastAsia="彩虹粗仿宋"/>
          <w:color w:val="000000" w:themeColor="text1"/>
        </w:rPr>
      </w:pPr>
      <w:bookmarkStart w:id="64" w:name="_Toc86225294"/>
      <w:bookmarkStart w:id="65" w:name="_Toc86726442"/>
      <w:bookmarkStart w:id="66" w:name="_Toc84234390"/>
      <w:bookmarkStart w:id="67" w:name="_Toc110765663"/>
      <w:bookmarkStart w:id="68" w:name="_Toc124325891"/>
      <w:bookmarkStart w:id="69" w:name="_Toc84234437"/>
      <w:bookmarkStart w:id="70" w:name="_Toc89163371"/>
      <w:bookmarkStart w:id="71" w:name="_Toc120435786"/>
      <w:bookmarkStart w:id="72" w:name="_Toc86223245"/>
      <w:bookmarkStart w:id="73" w:name="_Toc86649725"/>
      <w:bookmarkStart w:id="74" w:name="_Toc110761799"/>
      <w:bookmarkStart w:id="75" w:name="_Toc119402713"/>
      <w:bookmarkStart w:id="76" w:name="_Toc86727358"/>
      <w:bookmarkStart w:id="77" w:name="_Toc118212953"/>
      <w:bookmarkStart w:id="78" w:name="_Toc108512361"/>
      <w:bookmarkStart w:id="79" w:name="_Toc110830495"/>
      <w:bookmarkStart w:id="80" w:name="_Toc84133788"/>
      <w:bookmarkStart w:id="81" w:name="_Toc86204791"/>
      <w:bookmarkStart w:id="82" w:name="_Toc86737932"/>
      <w:bookmarkStart w:id="83" w:name="_Toc118774806"/>
      <w:bookmarkStart w:id="84" w:name="_Toc118972651"/>
      <w:r>
        <w:rPr>
          <w:rFonts w:ascii="彩虹粗仿宋" w:eastAsia="彩虹粗仿宋" w:hint="eastAsia"/>
          <w:color w:val="000000" w:themeColor="text1"/>
        </w:rPr>
        <w:t>七、交易及清算交收安排</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36531B12"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产品参与交易所场内证券投资，采取托管人结算模式，基金管理人与基金托管人应根据有关法律法规及相关业务规则，签订《托管银行证券资金结算协议》用以具体明确基金管理人与基金托管人在证券交易资金结算（含港股通）业务中的程序与责任。协议签署前，基金管理人应按基金托管人要求配合提供相应准入材料。</w:t>
      </w:r>
    </w:p>
    <w:p w14:paraId="65484EF4"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（一）选择证券、期货买卖的证券、期货经营机构</w:t>
      </w:r>
    </w:p>
    <w:p w14:paraId="2209C74D"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中期报告和年度报告中将所选证券经营机构的有关情况及交易信息予以披露，并将该等情况及基金交易单元号、佣金费率等基本信息以及变更情况及时以书面形式通知基金托管人。</w:t>
      </w:r>
    </w:p>
    <w:p w14:paraId="6C2F949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负责选择代理本基金期货交易的期货经营机构，并与其签订期货经纪合同，其他事宜根据法律法规、《基金合同》的相关规定执行，若无明确规定的，可参照有关证券买卖、证券经营机构选择的规则执行。</w:t>
      </w:r>
    </w:p>
    <w:p w14:paraId="7864207F"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本基金在开始进行期货投资之前，应与基金托管人、期货公司三方一同就期</w:t>
      </w:r>
      <w:r>
        <w:rPr>
          <w:rFonts w:ascii="彩虹粗仿宋" w:eastAsia="彩虹粗仿宋" w:hAnsi="宋体" w:cs="Arial" w:hint="eastAsia"/>
          <w:color w:val="000000" w:themeColor="text1"/>
          <w:kern w:val="0"/>
          <w:sz w:val="24"/>
          <w:szCs w:val="24"/>
        </w:rPr>
        <w:lastRenderedPageBreak/>
        <w:t>货开户、清算、估值、交收等事宜另行签署《期货投资托管操作三方备忘录》。</w:t>
      </w:r>
    </w:p>
    <w:p w14:paraId="343F987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参加期权交易前，应当按照现有证券账户开立方式向中国证券登记结算有限责任公司申请新开立一个普通证券账户，基金管理人负责将该证券账户指定交易在证券公司或期货公司，由相应证券公司（或期货公司）为本基金开立衍生品合约账户后，再通过该证券公司（或期货公司）参与期权交易。</w:t>
      </w:r>
    </w:p>
    <w:p w14:paraId="06C87EC6"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（二）基金投资证券后的清算交收安排</w:t>
      </w:r>
    </w:p>
    <w:p w14:paraId="54B4233B"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1.结算备付金与保证金</w:t>
      </w:r>
    </w:p>
    <w:p w14:paraId="1DB87C35"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中国证券登记结算有限责任公司分别于每月前6个交易日及每月前3个交易日内，对结算参与人最低备付金限额与结算保证金限额进行重新核算、调整。基金托管人应分别于每月前3个交易日内及结算保证金调整当日通过《资金账户报告》通知基金管理人本基金最低备付金调整金额以及调整后的结算保证金金额。</w:t>
      </w:r>
    </w:p>
    <w:p w14:paraId="4981B4B3"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应预留最低备付金和结算保证金，并根据中国证券登记结算有限责任公司确定的实际最低备付金、结算保证金数据为依据安排资金运作，调整所需的现金头寸。如因调整最低备付金、结算保证金后造成透支，基金管理人应视基金托管人最低结算备付金比例计收方式分别于下列时点补足透支金额：</w:t>
      </w:r>
    </w:p>
    <w:p w14:paraId="0FFE20C1"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（1）固定备付金比例计收方式下，基金管理人应在调整最低备付金、结算保证金当日上午11：00之前补足金额。</w:t>
      </w:r>
    </w:p>
    <w:p w14:paraId="233B4AE8"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（2）差异化备付金比例计收方式下，基金管理人应最晚于资金交收日上午8：30前补足金额。</w:t>
      </w:r>
    </w:p>
    <w:p w14:paraId="34B56200"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w:t>
      </w:r>
      <w:r>
        <w:rPr>
          <w:rFonts w:ascii="彩虹粗仿宋" w:eastAsia="彩虹粗仿宋" w:hAnsi="宋体" w:cs="Arial"/>
          <w:color w:val="000000" w:themeColor="text1"/>
          <w:kern w:val="0"/>
          <w:sz w:val="24"/>
          <w:szCs w:val="24"/>
        </w:rPr>
        <w:t>.</w:t>
      </w:r>
      <w:r>
        <w:rPr>
          <w:rFonts w:ascii="彩虹粗仿宋" w:eastAsia="彩虹粗仿宋" w:hAnsi="宋体" w:cs="Arial" w:hint="eastAsia"/>
          <w:color w:val="000000" w:themeColor="text1"/>
          <w:kern w:val="0"/>
          <w:sz w:val="24"/>
          <w:szCs w:val="24"/>
        </w:rPr>
        <w:t>清算交收</w:t>
      </w:r>
    </w:p>
    <w:p w14:paraId="2D7D6AED"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基金托管人负责基金买卖证券的清算交收。场内资金结算由基金托管人根据中国证券登记结算有限责任公司结算数据办理；场外资金汇划由基金托管人根据基金管理人的交易划款指令具体办理。</w:t>
      </w:r>
    </w:p>
    <w:p w14:paraId="3F7BC02B" w14:textId="131E61DE"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如果因为基金托管人自身过错在清算上造成基金财产的直接损失，应由基金托管人负责赔偿，但因中国人民银行、中国结算和银行间市场登记结算机构资金结算系统以及其他机构的结算系统发生故障等非基金托管人</w:t>
      </w:r>
      <w:r>
        <w:rPr>
          <w:rFonts w:ascii="彩虹粗仿宋" w:eastAsia="彩虹粗仿宋" w:hAnsi="宋体" w:cs="Arial" w:hint="eastAsia"/>
          <w:color w:val="000000" w:themeColor="text1"/>
          <w:sz w:val="24"/>
        </w:rPr>
        <w:t>可以控制的因素</w:t>
      </w:r>
      <w:r>
        <w:rPr>
          <w:rFonts w:ascii="彩虹粗仿宋" w:eastAsia="彩虹粗仿宋" w:hAnsi="宋体" w:cs="Arial" w:hint="eastAsia"/>
          <w:color w:val="000000" w:themeColor="text1"/>
          <w:kern w:val="0"/>
          <w:sz w:val="24"/>
          <w:szCs w:val="24"/>
        </w:rPr>
        <w:t>造成清算资金无法按时到账的情形，基金托管人</w:t>
      </w:r>
      <w:r w:rsidR="00B12D8E">
        <w:rPr>
          <w:rFonts w:ascii="彩虹粗仿宋" w:eastAsia="彩虹粗仿宋" w:hAnsi="宋体" w:cs="Arial" w:hint="eastAsia"/>
          <w:color w:val="000000" w:themeColor="text1"/>
          <w:kern w:val="0"/>
          <w:sz w:val="24"/>
          <w:szCs w:val="24"/>
        </w:rPr>
        <w:t>不承担任何责任</w:t>
      </w:r>
      <w:r>
        <w:rPr>
          <w:rFonts w:ascii="彩虹粗仿宋" w:eastAsia="彩虹粗仿宋" w:hAnsi="宋体" w:cs="Arial" w:hint="eastAsia"/>
          <w:color w:val="000000" w:themeColor="text1"/>
          <w:kern w:val="0"/>
          <w:sz w:val="24"/>
          <w:szCs w:val="24"/>
        </w:rPr>
        <w:t>；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在预清算结束后应通知基金管理人预透支和预欠库事项，基金管理人应保持联系方式畅通，后续补缴等事宜由基金管理人负责解决，由此给基金托管人、本基金</w:t>
      </w:r>
      <w:r>
        <w:rPr>
          <w:rFonts w:ascii="彩虹粗仿宋" w:eastAsia="彩虹粗仿宋" w:hAnsi="宋体" w:cs="Arial" w:hint="eastAsia"/>
          <w:color w:val="000000" w:themeColor="text1"/>
          <w:sz w:val="24"/>
        </w:rPr>
        <w:t>和基金托管人托管的其他资产</w:t>
      </w:r>
      <w:r>
        <w:rPr>
          <w:rFonts w:ascii="彩虹粗仿宋" w:eastAsia="彩虹粗仿宋" w:hAnsi="宋体" w:cs="Arial" w:hint="eastAsia"/>
          <w:color w:val="000000" w:themeColor="text1"/>
          <w:kern w:val="0"/>
          <w:sz w:val="24"/>
          <w:szCs w:val="24"/>
        </w:rPr>
        <w:t>造成的直接损失由基金管理人承担。</w:t>
      </w:r>
    </w:p>
    <w:p w14:paraId="098802B2"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基金管理人应采取合理、必要措施，确保T日日终有足够的资金头寸完成 T+1日中国证券登记结算有限责任公司的资金交收；如因基金管理人原因导致资金头寸不足，基金管理人应视基金托管人最低结算备付金比例计收方式分别于下列时点补足透支金额：</w:t>
      </w:r>
    </w:p>
    <w:p w14:paraId="41DC2EAC"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（1）固定备付金比例计收方式下，基金管理人应最晚于资金交收日上午11：00前补足金额。</w:t>
      </w:r>
    </w:p>
    <w:p w14:paraId="36F74551"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（2）差异化备付金比例计收方式下，基金管理人应最晚于资金交收日上午8：30前补足金额。</w:t>
      </w:r>
    </w:p>
    <w:p w14:paraId="472AFD2E"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如果基金管理人未遵循上述规定备足资金头寸，影响基金资产的清算交收及基金托管人与中国证券登记结算有限责任公司之间的一级清算，由此给基金托管人、基金资产</w:t>
      </w:r>
      <w:r>
        <w:rPr>
          <w:rFonts w:ascii="彩虹粗仿宋" w:eastAsia="彩虹粗仿宋" w:hAnsi="宋体" w:cs="Arial" w:hint="eastAsia"/>
          <w:color w:val="000000" w:themeColor="text1"/>
          <w:sz w:val="24"/>
        </w:rPr>
        <w:t>和基金托管人托管的其他资产</w:t>
      </w:r>
      <w:r>
        <w:rPr>
          <w:rFonts w:ascii="彩虹粗仿宋" w:eastAsia="彩虹粗仿宋" w:hAnsi="宋体" w:cs="Arial" w:hint="eastAsia"/>
          <w:color w:val="000000" w:themeColor="text1"/>
          <w:kern w:val="0"/>
          <w:sz w:val="24"/>
          <w:szCs w:val="24"/>
        </w:rPr>
        <w:t>造成的直接损失由基金管理人负责。</w:t>
      </w:r>
    </w:p>
    <w:p w14:paraId="573FB5DC"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14:paraId="4230A532" w14:textId="0F9D4EE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对于中国证券登记结算有限责任公司实行T+0非担保交收的业务，基金管理人应在交易日14：00前将划款指令发送至托管人。因基金管理人指令传输不及时，致使资金未能及时划入中国证券登记结算有限责任公司所造成的直接经济损失由基金管理人承担，包括但不限于赔偿在该市场引起基金托管人的其他托管客户交易失败、赔偿因占用基金托管人作为结算参与人的最低备付金带来的利息损失。</w:t>
      </w:r>
    </w:p>
    <w:p w14:paraId="5F3E34B2"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3</w:t>
      </w:r>
      <w:r>
        <w:rPr>
          <w:rFonts w:ascii="彩虹粗仿宋" w:eastAsia="彩虹粗仿宋" w:hAnsi="宋体" w:cs="Arial" w:hint="eastAsia"/>
          <w:color w:val="000000" w:themeColor="text1"/>
          <w:kern w:val="0"/>
          <w:sz w:val="24"/>
          <w:szCs w:val="24"/>
        </w:rPr>
        <w:t>.交易记录、资金和证券/</w:t>
      </w:r>
      <w:r>
        <w:rPr>
          <w:rFonts w:ascii="彩虹粗仿宋" w:eastAsia="彩虹粗仿宋" w:hAnsi="宋体" w:cs="Arial"/>
          <w:color w:val="000000" w:themeColor="text1"/>
          <w:kern w:val="0"/>
          <w:sz w:val="24"/>
          <w:szCs w:val="24"/>
        </w:rPr>
        <w:t>期货</w:t>
      </w:r>
      <w:r>
        <w:rPr>
          <w:rFonts w:ascii="彩虹粗仿宋" w:eastAsia="彩虹粗仿宋" w:hAnsi="宋体" w:cs="Arial" w:hint="eastAsia"/>
          <w:color w:val="000000" w:themeColor="text1"/>
          <w:kern w:val="0"/>
          <w:sz w:val="24"/>
          <w:szCs w:val="24"/>
        </w:rPr>
        <w:t>账目核对的时间和方式</w:t>
      </w:r>
    </w:p>
    <w:p w14:paraId="70788014"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（1）交易记录的核对</w:t>
      </w:r>
    </w:p>
    <w:p w14:paraId="59D6834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按日进行交易记录的核对。对外披露净值之前，必须保证当天所有实际交易记录与基金会计账簿上的交易记录完全一致。如果因基金管理人原因导致实际交易记录与会计账簿记录不一致，造成基金会计核算不完整或不真实，由此导致的损失由基金管理人承担。</w:t>
      </w:r>
    </w:p>
    <w:p w14:paraId="157789D3"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（2）资金账目的核对</w:t>
      </w:r>
    </w:p>
    <w:p w14:paraId="25EF1242"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资金账目按日核实。</w:t>
      </w:r>
    </w:p>
    <w:p w14:paraId="5F9C4711"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（3）证券/期货账目的核对</w:t>
      </w:r>
    </w:p>
    <w:p w14:paraId="095F2FE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基金管理人和基金托管人每交易日结束后核对基金证券/</w:t>
      </w:r>
      <w:r>
        <w:rPr>
          <w:rFonts w:ascii="彩虹粗仿宋" w:eastAsia="彩虹粗仿宋" w:hAnsi="宋体" w:cs="Arial"/>
          <w:color w:val="000000" w:themeColor="text1"/>
          <w:kern w:val="0"/>
          <w:sz w:val="24"/>
          <w:szCs w:val="24"/>
        </w:rPr>
        <w:t>期货</w:t>
      </w:r>
      <w:r>
        <w:rPr>
          <w:rFonts w:ascii="彩虹粗仿宋" w:eastAsia="彩虹粗仿宋" w:hAnsi="宋体" w:cs="Arial" w:hint="eastAsia"/>
          <w:color w:val="000000" w:themeColor="text1"/>
          <w:kern w:val="0"/>
          <w:sz w:val="24"/>
          <w:szCs w:val="24"/>
        </w:rPr>
        <w:t>账目，确保双方账目相符。</w:t>
      </w:r>
    </w:p>
    <w:p w14:paraId="23BD1A11"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（三）基金申购和赎回业务处理的基本规定</w:t>
      </w:r>
    </w:p>
    <w:p w14:paraId="289DC8A8"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1.基金份额申购、赎回的确认、清算由基金管理人或其委托的登记机构负责。</w:t>
      </w:r>
    </w:p>
    <w:p w14:paraId="48279DA3"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2.基金管理人应保证本基金（或本基金管理人委托）的登记机构每个工作日</w:t>
      </w:r>
      <w:r>
        <w:rPr>
          <w:rFonts w:ascii="彩虹粗仿宋" w:eastAsia="彩虹粗仿宋" w:hAnsi="宋体" w:cs="Arial" w:hint="eastAsia"/>
          <w:color w:val="000000" w:themeColor="text1"/>
          <w:kern w:val="0"/>
          <w:sz w:val="24"/>
          <w:szCs w:val="24"/>
        </w:rPr>
        <w:lastRenderedPageBreak/>
        <w:t>15:00前将前一个开放日的申购、赎回、转换开放式基金的数据传送给基金托管人，并保证相关数据的准确完整。基金管理人应对传递的申购、赎回、转换开放式基金的数据真实性负责。基金托管人应及时查收申购及转入资金的到账情况并根据基金管理人指令及时划付赎回及转出款项。</w:t>
      </w:r>
    </w:p>
    <w:p w14:paraId="32D7506E"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3</w:t>
      </w:r>
      <w:r>
        <w:rPr>
          <w:rFonts w:ascii="彩虹粗仿宋" w:eastAsia="彩虹粗仿宋" w:hAnsi="宋体" w:cs="Arial" w:hint="eastAsia"/>
          <w:color w:val="000000" w:themeColor="text1"/>
          <w:kern w:val="0"/>
          <w:sz w:val="24"/>
          <w:szCs w:val="24"/>
        </w:rPr>
        <w:t>.登记机构应通过与基金托管人建立的加密系统发送有关数据，如因各种原因，该系统无法正常发送，双方可协商解决处理方式。基金管理人向基金托管人发送的数据，双方各自按有关规定保存。</w:t>
      </w:r>
    </w:p>
    <w:p w14:paraId="09355A1D"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4</w:t>
      </w:r>
      <w:r>
        <w:rPr>
          <w:rFonts w:ascii="彩虹粗仿宋" w:eastAsia="彩虹粗仿宋" w:hAnsi="宋体" w:cs="Arial" w:hint="eastAsia"/>
          <w:color w:val="000000" w:themeColor="text1"/>
          <w:kern w:val="0"/>
          <w:sz w:val="24"/>
          <w:szCs w:val="24"/>
        </w:rPr>
        <w:t>.如基金管理人委托其他机构办理本基金的登记业务，应保证上述相关事宜按时进行。否则，由基金管理人承担相应的责任。</w:t>
      </w:r>
    </w:p>
    <w:p w14:paraId="5ECECF51"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5</w:t>
      </w:r>
      <w:r>
        <w:rPr>
          <w:rFonts w:ascii="彩虹粗仿宋" w:eastAsia="彩虹粗仿宋" w:hAnsi="宋体" w:cs="Arial" w:hint="eastAsia"/>
          <w:color w:val="000000" w:themeColor="text1"/>
          <w:kern w:val="0"/>
          <w:sz w:val="24"/>
          <w:szCs w:val="24"/>
        </w:rPr>
        <w:t>.关于清算专用账户的设立和管理</w:t>
      </w:r>
    </w:p>
    <w:p w14:paraId="3EF44CE3"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为满足申购、赎回及分红资金汇划的需要，由基金管理人开立资金清算的专用账户，该账户由登记机构管理。</w:t>
      </w:r>
    </w:p>
    <w:p w14:paraId="3D3680F9"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6</w:t>
      </w:r>
      <w:r>
        <w:rPr>
          <w:rFonts w:ascii="彩虹粗仿宋" w:eastAsia="彩虹粗仿宋" w:hAnsi="宋体" w:cs="Arial" w:hint="eastAsia"/>
          <w:color w:val="000000" w:themeColor="text1"/>
          <w:kern w:val="0"/>
          <w:sz w:val="24"/>
          <w:szCs w:val="24"/>
        </w:rPr>
        <w:t>.对于基金申购过程中产生的应收款，应由基金管理人负责与有关当事人确定到账日期并通知基金托管人，到账日应收款没有到达基金托管资金账户的，基金托管人应及时通知基金管理人采取措施进行催收，由此造成基金损失的，基金管理人应负责向有关当事人追偿基金的损失，基金托管人应给予必要的协助与配合。</w:t>
      </w:r>
    </w:p>
    <w:p w14:paraId="6EFEA87F"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7</w:t>
      </w:r>
      <w:r>
        <w:rPr>
          <w:rFonts w:ascii="彩虹粗仿宋" w:eastAsia="彩虹粗仿宋" w:hAnsi="宋体" w:cs="Arial" w:hint="eastAsia"/>
          <w:color w:val="000000" w:themeColor="text1"/>
          <w:kern w:val="0"/>
          <w:sz w:val="24"/>
          <w:szCs w:val="24"/>
        </w:rPr>
        <w:t>.赎回和分红资金划拨规定</w:t>
      </w:r>
    </w:p>
    <w:p w14:paraId="3A92FA63" w14:textId="19FA2D64"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拨付赎回款或进行基金分红时，如基金托管资金账户有足够的资金，基金托管人应按时拨付；因基金托管资金账户没有足够的资金，导致基金托管人不能按时拨付，如系基金管理人的原因造成，责任由基金管理人承担，基金托管人不承担垫款义务。</w:t>
      </w:r>
    </w:p>
    <w:p w14:paraId="339C7152"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8</w:t>
      </w:r>
      <w:r>
        <w:rPr>
          <w:rFonts w:ascii="彩虹粗仿宋" w:eastAsia="彩虹粗仿宋" w:hAnsi="宋体" w:cs="Arial" w:hint="eastAsia"/>
          <w:color w:val="000000" w:themeColor="text1"/>
          <w:kern w:val="0"/>
          <w:sz w:val="24"/>
          <w:szCs w:val="24"/>
        </w:rPr>
        <w:t>.资金指令</w:t>
      </w:r>
    </w:p>
    <w:p w14:paraId="13B429F6"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除申购款项到达基金托管资金账户需双方按约定方式对账外，回购到期付款和与投资有关的付款、赎回和分红资金划拨时，基金管理人需向基金托管人下达指令。</w:t>
      </w:r>
    </w:p>
    <w:p w14:paraId="01BA8DAD"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资金指令的格式、内容、发送、接收和确认方式等与投资指令相同。</w:t>
      </w:r>
    </w:p>
    <w:p w14:paraId="6CD9C803"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（四）申赎净额结算</w:t>
      </w:r>
    </w:p>
    <w:p w14:paraId="79DB14B3"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托管资金账户与“基金清算账户”间的资金结算遵循“全额清算、净额交收”的原则，每日（T日：资金交收日，下同）按照托管资金账户应收资金与应付资金的差额来确定托管资金账户净应收额或净应付额，以此确定资金交收额。当存在托管资金账户净应收额时，基金管理人应在T日15:00之前从基金清算账户划到基金托管资金账户；当存在托管资金账户净应付额时，基金管理人应在T-1日将划款指令发送给基金托管人，基金托管人按基金管理人的划款指令将托管资金账户净应付额在T日12:00之前划往基金清算账户。</w:t>
      </w:r>
    </w:p>
    <w:p w14:paraId="64B6004D"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（五）基金转换</w:t>
      </w:r>
    </w:p>
    <w:p w14:paraId="35366BC1"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1.在本基金开展转换业务之前，基金管理人应函告基金托管人并就相关事宜进行协商。</w:t>
      </w:r>
    </w:p>
    <w:p w14:paraId="03D0A688"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2.基金托管人将根据基金管理人传送的基金转换数据进行账务处理，具体资金清算和数据传递的时间、程序及托管协议当事人承担的权责按基金管理人届时的公告执行。</w:t>
      </w:r>
    </w:p>
    <w:p w14:paraId="76915398"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3.本基金开展基金转换业务应按相关法律法规规定及《基金合同》的约定进行公告。</w:t>
      </w:r>
    </w:p>
    <w:p w14:paraId="4040E428"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（六）基金现金分红</w:t>
      </w:r>
    </w:p>
    <w:p w14:paraId="147DA8C7"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1.基金管理人确定分红方案通知基金托管人，双方核定后依照《公开募集证券投资基金信息披露管理办法》（以下简称“《信息披露办法》” ）的有关规定在中国证监会规定媒介上公告。</w:t>
      </w:r>
    </w:p>
    <w:p w14:paraId="33C0906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2.基金托管人和基金管理人对基金分红进行账务处理并核对后，基金管理人向基金托管人发送现金红利的划款指令，基金托管人应及时将资金划入专用账户。</w:t>
      </w:r>
    </w:p>
    <w:p w14:paraId="7D702BB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3.基金管理人在下达指令时，应给基金托管人留出必需的划款时间。</w:t>
      </w:r>
    </w:p>
    <w:p w14:paraId="5349C7B9" w14:textId="77777777" w:rsidR="00A818E6" w:rsidRDefault="008434C4">
      <w:pPr>
        <w:adjustRightInd w:val="0"/>
        <w:snapToGrid w:val="0"/>
        <w:ind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（七）投资银行存款的特别约定</w:t>
      </w:r>
    </w:p>
    <w:p w14:paraId="507FDF8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1.本基金投资银行存款前，基金管理人应与存款银行签订具体存款协议，包括但不限于以下内容：</w:t>
      </w:r>
    </w:p>
    <w:p w14:paraId="54AFC17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（1）存款账户必须以本基金名义开立,并将基金托管人为本基金开立的基金托管资金账户指定为唯一回款账户，任何情况下，存款银行都不得将存款投资本息划往任何其他账户。</w:t>
      </w:r>
    </w:p>
    <w:p w14:paraId="759D061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（2）存款银行不得接受基金管理人或基金托管人任何一方单方面提出的对存款进行更名、转让、挂失、质押、担保、撤销、变更印鉴及回款账户信息等可能导致财产转移的操作申请。</w:t>
      </w:r>
    </w:p>
    <w:p w14:paraId="240035E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（3）约定存款证实书的具体传递交接方式及交接期限。</w:t>
      </w:r>
    </w:p>
    <w:p w14:paraId="37203DE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（4）资金划转过程中需要使用存款银行过渡账户的，存款银行须保证资金在过渡账户中不出现滞留，不被挪用。</w:t>
      </w:r>
    </w:p>
    <w:p w14:paraId="6AF2903E"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本基金投资银行存款，必须采用双方认可的方式办理。基金托管人负责依据基金管理人提供的银行存款投资合同/协议、投资指令、支取通知等有关文件办理资金的支付以及存款证实书的接收、保管与交付，切实履行托管职责。基金托管人负责对存款开户证实书进行保管，不负责对存款开户证实书真伪的辨别，不承担存款开户证实书对应存款的本金及收益的安全。</w:t>
      </w:r>
    </w:p>
    <w:p w14:paraId="76947A8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 基金管理人投资银行存款或办理存款支取时，应提前书面通知基金托管人，以便基金托管人有足够的时间履行相应的业务操作程序。因发生逾期支取、提前支取或部分提前支取，托管银行不承担相应利息损失及逾期支取手续费。</w:t>
      </w:r>
    </w:p>
    <w:p w14:paraId="392C9AEE" w14:textId="77777777" w:rsidR="00A818E6" w:rsidRDefault="008434C4">
      <w:pPr>
        <w:pStyle w:val="a0"/>
        <w:adjustRightInd w:val="0"/>
        <w:snapToGrid w:val="0"/>
        <w:ind w:firstLine="480"/>
        <w:rPr>
          <w:rFonts w:ascii="彩虹粗仿宋" w:eastAsia="彩虹粗仿宋" w:hAnsi="宋体" w:cs="Arial"/>
          <w:color w:val="000000" w:themeColor="text1"/>
          <w:kern w:val="0"/>
          <w:sz w:val="24"/>
        </w:rPr>
      </w:pPr>
      <w:r>
        <w:rPr>
          <w:rFonts w:ascii="彩虹粗仿宋" w:eastAsia="彩虹粗仿宋" w:hAnsi="宋体" w:cs="Arial" w:hint="eastAsia"/>
          <w:color w:val="000000" w:themeColor="text1"/>
          <w:kern w:val="0"/>
          <w:sz w:val="24"/>
        </w:rPr>
        <w:t>4.对于已移交基金托管人保管的存款开户证实书等实物凭证，基金托管人应确</w:t>
      </w:r>
      <w:r>
        <w:rPr>
          <w:rFonts w:ascii="彩虹粗仿宋" w:eastAsia="彩虹粗仿宋" w:hAnsi="宋体" w:cs="Arial" w:hint="eastAsia"/>
          <w:color w:val="000000" w:themeColor="text1"/>
          <w:kern w:val="0"/>
          <w:sz w:val="24"/>
        </w:rPr>
        <w:lastRenderedPageBreak/>
        <w:t>保安全保管；对未按约定将存款开户证实书等实物凭证移交基金托管人保管的，基金托管人应向基金管理人进行必要的催缴和风险提示；提示后仍不将相关实物凭证送达基金托管人保管的，出于托管履职和尽责，基金托管人可视情况采取必要的风险控制措施：（1）建立风险预警机制，对于实物凭证未送达集中度较高的存款银行，主动发函基金管理人尽量避免在此类银行进行存款投资；（2）在定期报告中，对未按约定送达基金托管人保管的实物凭证信息进行规定范围信息披露；（3）未送达实物凭证超过送单截止日后30个工作日，且累计超过3笔（含）以上的，部分或全部暂停配合基金管理人办理后续新增存款投资业务，直至实物凭证送达基金托管人保管后解除。实物凭证未送达但存款本息已安全划回托管资金账户的，以及因发生特殊情况由基金管理人提供相关书面说明并重新承诺送单截止时间的，可剔除不计。</w:t>
      </w:r>
    </w:p>
    <w:p w14:paraId="7F405DDF" w14:textId="77777777" w:rsidR="00A818E6" w:rsidRDefault="00A818E6">
      <w:pPr>
        <w:adjustRightInd w:val="0"/>
        <w:snapToGrid w:val="0"/>
        <w:ind w:firstLineChars="200" w:firstLine="480"/>
        <w:rPr>
          <w:rFonts w:ascii="宋体" w:eastAsia="宋体" w:hAnsi="宋体" w:cs="Arial"/>
          <w:color w:val="000000" w:themeColor="text1"/>
          <w:sz w:val="24"/>
        </w:rPr>
      </w:pPr>
    </w:p>
    <w:p w14:paraId="635E23CE" w14:textId="77777777" w:rsidR="00A818E6" w:rsidRDefault="008434C4">
      <w:pPr>
        <w:pStyle w:val="2"/>
        <w:jc w:val="center"/>
        <w:rPr>
          <w:rFonts w:ascii="彩虹粗仿宋" w:eastAsia="彩虹粗仿宋"/>
          <w:color w:val="000000" w:themeColor="text1"/>
        </w:rPr>
      </w:pPr>
      <w:bookmarkStart w:id="85" w:name="_Toc124325892"/>
      <w:r>
        <w:rPr>
          <w:rFonts w:ascii="彩虹粗仿宋" w:eastAsia="彩虹粗仿宋" w:hint="eastAsia"/>
          <w:color w:val="000000" w:themeColor="text1"/>
        </w:rPr>
        <w:t>八、基金资产净值计算和会计核算</w:t>
      </w:r>
      <w:bookmarkEnd w:id="85"/>
    </w:p>
    <w:p w14:paraId="2D906FF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（一）基金资产净值的计算、复核与完成的时间及程序</w:t>
      </w:r>
    </w:p>
    <w:p w14:paraId="1924910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 基金资产净值是指基金资产总值减去基金负债后的价值。各类基金份额净值是按照每个工作日闭市后，各类基金份额的基金资产净值分别除以当日该类基金份额的余额数量计算，均精确到0.0001元，小数点后第5位四舍五入，由此产生的收益或损失由基金财产承担。基金管理人可以设立大额赎回情形下的净值精度应急调整机制。如遇特殊情况，为保护基金份额持有人利益，基金管理人与基金托管人协商一致，可阶段性调整基金份额净值计算精度并进行相应公告，无需召开基金份额持有人大会审议。国家法律法规另有规定的，从其规定。</w:t>
      </w:r>
    </w:p>
    <w:p w14:paraId="2ADB9C4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基金管理人应每个工作日计算基金资产净值及各类基金份额净值，并按规定公告。</w:t>
      </w:r>
    </w:p>
    <w:p w14:paraId="4606D2C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 基金管理人应每个工作日对基金资产估值。但基金管理人根据法律法规或基金合同的规定暂停估值时除外。基金管理人每个工作日对基金资产估值后，将各类基金份额净值结果发送基金托管人，经基金托管人复核无误后，由基金管理人对外公布。</w:t>
      </w:r>
    </w:p>
    <w:p w14:paraId="0ED1736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（二）基金资产估值方法和特殊情形的处理</w:t>
      </w:r>
    </w:p>
    <w:p w14:paraId="14456FC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1.估值对象</w:t>
      </w:r>
    </w:p>
    <w:p w14:paraId="46DE80C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基金所拥有的股票、债券、资产支持证券、衍生工具、信用衍生品和银行存款本息、应收款项、其它投资等资产及负债。</w:t>
      </w:r>
    </w:p>
    <w:p w14:paraId="60FE6D4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bookmarkStart w:id="86" w:name="_Hlk221739335"/>
      <w:r>
        <w:rPr>
          <w:rFonts w:ascii="彩虹粗仿宋" w:eastAsia="彩虹粗仿宋" w:hAnsi="宋体" w:cs="Arial" w:hint="eastAsia"/>
          <w:color w:val="000000" w:themeColor="text1"/>
          <w:kern w:val="0"/>
          <w:sz w:val="24"/>
          <w:szCs w:val="24"/>
        </w:rPr>
        <w:t>2.估值方法</w:t>
      </w:r>
    </w:p>
    <w:p w14:paraId="1BB38F6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（1）证券交易所上市的有价证券的估值</w:t>
      </w:r>
    </w:p>
    <w:p w14:paraId="5291C60D"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1）交易所上市的有价证券（包括股票等），以其估值日在证券交易所挂牌的市价（收盘价）估值；估值日无交易的，且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3D67B3D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2）交易所已上市或已挂牌转让的不含权固定收益品种，选取估值日第三方估值基准服务机构提供的相应品种当日的估值全价进行估值；</w:t>
      </w:r>
    </w:p>
    <w:p w14:paraId="4E6A43A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3）交易所已上市或已挂牌转让的含权固定收益品种，选取估值日第三方估值基准服务机构提供的相应品种当日的唯一估值全价或推荐估值全价进行估值；</w:t>
      </w:r>
    </w:p>
    <w:p w14:paraId="5DB11DC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交易所已上市或已挂牌转让的含投资者回售权的固定收益品种，行使回售权的，在回售登记日至实际收款日期间选取第三方估值基准服务机构提供的相应品种的唯一估值全价或推荐估值全价进行估值，同时充分考虑发行人的信用风险变化对公允价值的影响。回售登记期截止日（含当日）后未行使回售权的按照长待偿期所对应的价格进行估值；</w:t>
      </w:r>
    </w:p>
    <w:p w14:paraId="6ED02E2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5）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4387D70D"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6）交易所上市不存在活跃市场的有价证券，采用当前情况下适用并且有足够可利用数据和其他信息支持的估值技术确定其公允价值；</w:t>
      </w:r>
    </w:p>
    <w:p w14:paraId="4D51E6D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7）对在交易所市场发行未上市或未挂牌转让且不存在活跃市场的固定收益品种，采用在当前情况下适用并且有足够可利用数据和其他信息支持的估值技术确定其公允价值。</w:t>
      </w:r>
    </w:p>
    <w:p w14:paraId="5A109247"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（2）处于未上市期间的有价证券应区分如下情况处理：</w:t>
      </w:r>
    </w:p>
    <w:p w14:paraId="48C88A0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1）送股、转增股、配股和公开增发的新股，按估值日在证券交易所挂牌的同一股票的估值方法估值；该日无交易的，以最近一日的市价（收盘价）估值；</w:t>
      </w:r>
    </w:p>
    <w:p w14:paraId="50641F6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2）首次公开发行未上市的股票，采用估值技术确定公允价值；</w:t>
      </w:r>
    </w:p>
    <w:p w14:paraId="2C14E19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3）首次公开发行未上市的债券，采用当前情况下适用并且有足够可利用数据和其他信息支持的估值技术确定其公允价值；</w:t>
      </w:r>
    </w:p>
    <w:p w14:paraId="381E784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03F823C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（3）对全国银行间市场上不含权的固定收益品种，按照第三方估值基准服务机构提供的相应品种当日的估值全价估值。对银行间市场上含权的固定收益品种，</w:t>
      </w:r>
      <w:r>
        <w:rPr>
          <w:rFonts w:ascii="彩虹粗仿宋" w:eastAsia="彩虹粗仿宋" w:hAnsi="宋体" w:cs="Arial" w:hint="eastAsia"/>
          <w:color w:val="000000" w:themeColor="text1"/>
          <w:kern w:val="0"/>
          <w:sz w:val="24"/>
          <w:szCs w:val="24"/>
        </w:rPr>
        <w:lastRenderedPageBreak/>
        <w:t>按照第三方估值基准服务机构提供的相应品种当日的唯一估值全价或推荐估值全价估值。对于含投资人回售权的固定收益品种，行使回售权的，在回售登记日至实际收款日期间选取第三方估值基准服务机构提供的相应品种的唯一估值全价或推荐估值全价估值，同时充分考虑发行人的信用风险变化对公允价值的影响。回售登记期截止日（含当日）后未行使回售权的按照长待偿期所对应的价格进行估值。对银行间市场未上市且不存在活跃市场的固定收益品种，采用在当前情况下适用并且有足够可利用数据和其他信息支持的估值技术确定其公允价值。</w:t>
      </w:r>
    </w:p>
    <w:p w14:paraId="6180DAFC"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275DEC03"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w:t>
      </w:r>
      <w:r>
        <w:rPr>
          <w:rFonts w:ascii="彩虹粗仿宋" w:eastAsia="彩虹粗仿宋" w:hAnsi="宋体" w:cs="Arial"/>
          <w:color w:val="000000" w:themeColor="text1"/>
          <w:kern w:val="0"/>
          <w:sz w:val="24"/>
          <w:szCs w:val="24"/>
        </w:rPr>
        <w:t>5</w:t>
      </w:r>
      <w:r>
        <w:rPr>
          <w:rFonts w:ascii="彩虹粗仿宋" w:eastAsia="彩虹粗仿宋" w:hAnsi="宋体" w:cs="Arial" w:hint="eastAsia"/>
          <w:color w:val="000000" w:themeColor="text1"/>
          <w:kern w:val="0"/>
          <w:sz w:val="24"/>
          <w:szCs w:val="24"/>
        </w:rPr>
        <w:t>）同一证券同时在两个或两个以上市场交易的，按证券所处的市场分别估值。</w:t>
      </w:r>
    </w:p>
    <w:p w14:paraId="5933E93C"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（6）期货合约以估值当日结算价进行估值，估值当日无结算价的，且最近交易日后经济环境未发生重大变化的，采用最近交易日结算价估值。</w:t>
      </w:r>
    </w:p>
    <w:p w14:paraId="37877AD7"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（7）本基金投资股票期权合约，按照相关法律法规和监管部门的规定估值。</w:t>
      </w:r>
    </w:p>
    <w:p w14:paraId="63804DFD"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8）信用衍生品按第三方估值基准服务机构提供的当日估值价格进行估值，但基金管理人依法应当承担的估值责任不因委托而免除；选定的第三方估值基准服务机构未提供估值价格的，依照有关法律法规及企业会计准则要求采用合理估值技术确定公允价值。</w:t>
      </w:r>
    </w:p>
    <w:p w14:paraId="4C3CD27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（9）本基金投资存托凭证的估值核算依照境内上市交易的股票执行。</w:t>
      </w:r>
    </w:p>
    <w:p w14:paraId="54637DE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（10）本基金参与融资业务的，按照相关法律法规、监管部门和行业协会的相关规定进行估值。</w:t>
      </w:r>
    </w:p>
    <w:p w14:paraId="07E273EB" w14:textId="3C2DF4C2"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（11）如本基金投资股票市场交易互联互通机制允许买卖的境外证券市场上市的股票，涉及相关货币对人民币汇率的</w:t>
      </w:r>
      <w:r w:rsidR="00B0495A" w:rsidRPr="00B0495A">
        <w:rPr>
          <w:rFonts w:ascii="彩虹粗仿宋" w:eastAsia="彩虹粗仿宋" w:hAnsi="宋体" w:cs="Arial" w:hint="eastAsia"/>
          <w:color w:val="000000" w:themeColor="text1"/>
          <w:kern w:val="0"/>
          <w:sz w:val="24"/>
          <w:szCs w:val="24"/>
        </w:rPr>
        <w:t>，将依据下列信息提供机构所提供的汇率为基准：当日中国人民银行公布的人民币汇率的中间价。</w:t>
      </w:r>
    </w:p>
    <w:p w14:paraId="1585C62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12）对于按照中国法律法规和基金投资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480FA075" w14:textId="021BB8F1"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（13）如有</w:t>
      </w:r>
      <w:r w:rsidR="00CE05A8">
        <w:rPr>
          <w:rFonts w:ascii="彩虹粗仿宋" w:eastAsia="彩虹粗仿宋" w:hAnsi="宋体" w:cs="Arial" w:hint="eastAsia"/>
          <w:color w:val="000000" w:themeColor="text1"/>
          <w:kern w:val="0"/>
          <w:sz w:val="24"/>
          <w:szCs w:val="24"/>
        </w:rPr>
        <w:t>确凿证据</w:t>
      </w:r>
      <w:r>
        <w:rPr>
          <w:rFonts w:ascii="彩虹粗仿宋" w:eastAsia="彩虹粗仿宋" w:hAnsi="宋体" w:cs="Arial" w:hint="eastAsia"/>
          <w:color w:val="000000" w:themeColor="text1"/>
          <w:kern w:val="0"/>
          <w:sz w:val="24"/>
          <w:szCs w:val="24"/>
        </w:rPr>
        <w:t>表明按上述方法进行估值不能客观反映其公允价值的，基金管理人可根据具体情况与基金托管人商定后，按最能反映公允价值的价格估值。</w:t>
      </w:r>
    </w:p>
    <w:p w14:paraId="1A8B7DA0" w14:textId="543F37CE" w:rsidR="001D19D7" w:rsidRPr="001D19D7" w:rsidRDefault="00CE05A8" w:rsidP="001D19D7">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w:t>
      </w:r>
      <w:r>
        <w:rPr>
          <w:rFonts w:ascii="彩虹粗仿宋" w:eastAsia="彩虹粗仿宋" w:hAnsi="宋体" w:cs="Arial"/>
          <w:color w:val="000000" w:themeColor="text1"/>
          <w:kern w:val="0"/>
          <w:sz w:val="24"/>
          <w:szCs w:val="24"/>
        </w:rPr>
        <w:t>4</w:t>
      </w:r>
      <w:r>
        <w:rPr>
          <w:rFonts w:ascii="彩虹粗仿宋" w:eastAsia="彩虹粗仿宋" w:hAnsi="宋体" w:cs="Arial" w:hint="eastAsia"/>
          <w:color w:val="000000" w:themeColor="text1"/>
          <w:kern w:val="0"/>
          <w:sz w:val="24"/>
          <w:szCs w:val="24"/>
        </w:rPr>
        <w:t>）</w:t>
      </w:r>
      <w:r w:rsidRPr="001D19D7">
        <w:rPr>
          <w:rFonts w:ascii="彩虹粗仿宋" w:eastAsia="彩虹粗仿宋" w:hAnsi="宋体" w:cs="Arial" w:hint="eastAsia"/>
          <w:color w:val="000000" w:themeColor="text1"/>
          <w:kern w:val="0"/>
          <w:sz w:val="24"/>
          <w:szCs w:val="24"/>
        </w:rPr>
        <w:t>本基金可以采用第三方估值机构按照上述公允价值确定原则提供的估</w:t>
      </w:r>
      <w:r w:rsidRPr="001D19D7">
        <w:rPr>
          <w:rFonts w:ascii="彩虹粗仿宋" w:eastAsia="彩虹粗仿宋" w:hAnsi="宋体" w:cs="Arial" w:hint="eastAsia"/>
          <w:color w:val="000000" w:themeColor="text1"/>
          <w:kern w:val="0"/>
          <w:sz w:val="24"/>
          <w:szCs w:val="24"/>
        </w:rPr>
        <w:lastRenderedPageBreak/>
        <w:t>值价格数据。</w:t>
      </w:r>
      <w:r w:rsidR="001D19D7" w:rsidRPr="001D19D7">
        <w:rPr>
          <w:rFonts w:ascii="彩虹粗仿宋" w:eastAsia="彩虹粗仿宋" w:hAnsi="宋体" w:cs="Arial" w:hint="eastAsia"/>
          <w:color w:val="000000" w:themeColor="text1"/>
          <w:kern w:val="0"/>
          <w:sz w:val="24"/>
          <w:szCs w:val="24"/>
        </w:rPr>
        <w:t>使用模型估值的，应当审慎确定模型参数，不得随意调整。</w:t>
      </w:r>
    </w:p>
    <w:p w14:paraId="745F23C9" w14:textId="77777777" w:rsidR="001D19D7" w:rsidRDefault="001D19D7" w:rsidP="001D19D7">
      <w:pPr>
        <w:adjustRightInd w:val="0"/>
        <w:snapToGrid w:val="0"/>
        <w:ind w:firstLineChars="200" w:firstLine="480"/>
        <w:rPr>
          <w:rFonts w:ascii="彩虹粗仿宋" w:eastAsia="彩虹粗仿宋" w:hAnsi="宋体" w:cs="Arial"/>
          <w:color w:val="000000" w:themeColor="text1"/>
          <w:kern w:val="0"/>
          <w:sz w:val="24"/>
          <w:szCs w:val="24"/>
        </w:rPr>
      </w:pPr>
      <w:r w:rsidRPr="001D19D7">
        <w:rPr>
          <w:rFonts w:ascii="彩虹粗仿宋" w:eastAsia="彩虹粗仿宋" w:hAnsi="宋体" w:cs="Arial" w:hint="eastAsia"/>
          <w:color w:val="000000" w:themeColor="text1"/>
          <w:kern w:val="0"/>
          <w:sz w:val="24"/>
          <w:szCs w:val="24"/>
        </w:rPr>
        <w:t>对于仅依赖管理人所提供数据（包括不限于管理人自建模型定价）且无法从其他渠道获取可靠数据进行会计核算的投资品种，管理人应对该估值数据的真实性、准确性、完整性、合规性负责，因上述估值数据错误导致估值结果的不真实、不准确、不完整、不合规，托管人不承担任何责任。</w:t>
      </w:r>
    </w:p>
    <w:p w14:paraId="00ECCCDC" w14:textId="7C929744"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w:t>
      </w:r>
      <w:r w:rsidR="00CE05A8">
        <w:rPr>
          <w:rFonts w:ascii="彩虹粗仿宋" w:eastAsia="彩虹粗仿宋" w:hAnsi="宋体" w:cs="Arial"/>
          <w:color w:val="000000" w:themeColor="text1"/>
          <w:kern w:val="0"/>
          <w:sz w:val="24"/>
          <w:szCs w:val="24"/>
        </w:rPr>
        <w:t>5</w:t>
      </w:r>
      <w:r>
        <w:rPr>
          <w:rFonts w:ascii="彩虹粗仿宋" w:eastAsia="彩虹粗仿宋" w:hAnsi="宋体" w:cs="Arial" w:hint="eastAsia"/>
          <w:color w:val="000000" w:themeColor="text1"/>
          <w:kern w:val="0"/>
          <w:sz w:val="24"/>
          <w:szCs w:val="24"/>
        </w:rPr>
        <w:t>）当本基金发生大额申购或赎回情形时，基金管理人可以采用摆动定价机制，以确保基金估值的公平性。</w:t>
      </w:r>
    </w:p>
    <w:p w14:paraId="177BCAB2" w14:textId="1EC201DF"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w:t>
      </w:r>
      <w:r w:rsidR="00CE05A8">
        <w:rPr>
          <w:rFonts w:ascii="彩虹粗仿宋" w:eastAsia="彩虹粗仿宋" w:hAnsi="宋体" w:cs="Arial"/>
          <w:color w:val="000000" w:themeColor="text1"/>
          <w:kern w:val="0"/>
          <w:sz w:val="24"/>
          <w:szCs w:val="24"/>
        </w:rPr>
        <w:t>6</w:t>
      </w:r>
      <w:r>
        <w:rPr>
          <w:rFonts w:ascii="彩虹粗仿宋" w:eastAsia="彩虹粗仿宋" w:hAnsi="宋体" w:cs="Arial" w:hint="eastAsia"/>
          <w:color w:val="000000" w:themeColor="text1"/>
          <w:kern w:val="0"/>
          <w:sz w:val="24"/>
          <w:szCs w:val="24"/>
        </w:rPr>
        <w:t>）相关法律法规以及监管部门有强制规定的，从其规定。如有新增事项，按法律法规以及监管部门最新规定估值。</w:t>
      </w:r>
    </w:p>
    <w:p w14:paraId="031BE00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5F6EA8A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bookmarkStart w:id="87" w:name="_Hlk221739473"/>
      <w:r>
        <w:rPr>
          <w:rFonts w:ascii="彩虹粗仿宋" w:eastAsia="彩虹粗仿宋" w:hAnsi="宋体" w:cs="Arial" w:hint="eastAsia"/>
          <w:color w:val="000000" w:themeColor="text1"/>
          <w:kern w:val="0"/>
          <w:sz w:val="24"/>
          <w:szCs w:val="24"/>
        </w:rPr>
        <w:t>基金管理人向基金托管人出具盖章的书面说明后，</w:t>
      </w:r>
      <w:bookmarkEnd w:id="87"/>
      <w:r>
        <w:rPr>
          <w:rFonts w:ascii="彩虹粗仿宋" w:eastAsia="彩虹粗仿宋" w:hAnsi="宋体" w:cs="Arial" w:hint="eastAsia"/>
          <w:color w:val="000000" w:themeColor="text1"/>
          <w:kern w:val="0"/>
          <w:sz w:val="24"/>
          <w:szCs w:val="24"/>
        </w:rPr>
        <w:t>按照基金管理人对基金净值信息的计算结果对外予以公布。</w:t>
      </w:r>
    </w:p>
    <w:p w14:paraId="3348D5AA" w14:textId="77777777" w:rsidR="00A818E6" w:rsidRDefault="008434C4">
      <w:pPr>
        <w:adjustRightInd w:val="0"/>
        <w:snapToGrid w:val="0"/>
        <w:ind w:firstLine="480"/>
        <w:rPr>
          <w:rFonts w:ascii="彩虹粗仿宋" w:eastAsia="彩虹粗仿宋"/>
          <w:color w:val="000000" w:themeColor="text1"/>
          <w:kern w:val="0"/>
          <w:sz w:val="24"/>
          <w:szCs w:val="24"/>
        </w:rPr>
      </w:pPr>
      <w:r>
        <w:rPr>
          <w:rFonts w:ascii="彩虹粗仿宋" w:eastAsia="彩虹粗仿宋" w:hint="eastAsia"/>
          <w:color w:val="000000" w:themeColor="text1"/>
          <w:kern w:val="0"/>
          <w:sz w:val="24"/>
          <w:szCs w:val="24"/>
        </w:rPr>
        <w:t>3.特殊情形的处理</w:t>
      </w:r>
    </w:p>
    <w:p w14:paraId="0C39BC65" w14:textId="77777777" w:rsidR="00A818E6" w:rsidRDefault="008434C4">
      <w:pPr>
        <w:adjustRightInd w:val="0"/>
        <w:snapToGrid w:val="0"/>
        <w:ind w:firstLineChars="200" w:firstLine="480"/>
        <w:rPr>
          <w:rFonts w:ascii="彩虹粗仿宋" w:eastAsia="彩虹粗仿宋" w:cs="Arial"/>
          <w:color w:val="000000" w:themeColor="text1"/>
          <w:kern w:val="0"/>
          <w:sz w:val="24"/>
          <w:szCs w:val="24"/>
        </w:rPr>
      </w:pPr>
      <w:r>
        <w:rPr>
          <w:rFonts w:ascii="彩虹粗仿宋" w:eastAsia="彩虹粗仿宋" w:hint="eastAsia"/>
          <w:color w:val="000000" w:themeColor="text1"/>
          <w:kern w:val="0"/>
          <w:sz w:val="24"/>
          <w:szCs w:val="24"/>
        </w:rPr>
        <w:t>基金管理人、基金托管人按估值方法的第</w:t>
      </w:r>
      <w:r>
        <w:rPr>
          <w:rFonts w:ascii="彩虹粗仿宋" w:eastAsia="彩虹粗仿宋" w:hAnsi="宋体" w:cs="Arial" w:hint="eastAsia"/>
          <w:color w:val="000000" w:themeColor="text1"/>
          <w:kern w:val="0"/>
          <w:sz w:val="24"/>
          <w:szCs w:val="24"/>
        </w:rPr>
        <w:t>（13）</w:t>
      </w:r>
      <w:r>
        <w:rPr>
          <w:rFonts w:ascii="彩虹粗仿宋" w:eastAsia="彩虹粗仿宋" w:hint="eastAsia"/>
          <w:color w:val="000000" w:themeColor="text1"/>
          <w:kern w:val="0"/>
          <w:sz w:val="24"/>
          <w:szCs w:val="24"/>
        </w:rPr>
        <w:t>项进行估值时，所造成的误差不作为基金资产估值</w:t>
      </w:r>
      <w:r>
        <w:rPr>
          <w:rFonts w:ascii="彩虹粗仿宋" w:eastAsia="彩虹粗仿宋" w:cs="Arial" w:hint="eastAsia"/>
          <w:color w:val="000000" w:themeColor="text1"/>
          <w:kern w:val="0"/>
          <w:sz w:val="24"/>
          <w:szCs w:val="24"/>
        </w:rPr>
        <w:t>错误处理。</w:t>
      </w:r>
    </w:p>
    <w:p w14:paraId="1DFD15CE"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（三）基金份额净值错误的处理方式</w:t>
      </w:r>
    </w:p>
    <w:p w14:paraId="113A52A3" w14:textId="77777777" w:rsidR="00A818E6" w:rsidRDefault="008434C4">
      <w:pPr>
        <w:adjustRightInd w:val="0"/>
        <w:snapToGrid w:val="0"/>
        <w:ind w:firstLineChars="200" w:firstLine="480"/>
        <w:rPr>
          <w:rFonts w:ascii="彩虹粗仿宋" w:eastAsia="彩虹粗仿宋" w:cs="Arial"/>
          <w:color w:val="000000" w:themeColor="text1"/>
          <w:kern w:val="0"/>
          <w:sz w:val="24"/>
          <w:szCs w:val="24"/>
        </w:rPr>
      </w:pPr>
      <w:r>
        <w:rPr>
          <w:rFonts w:ascii="彩虹粗仿宋" w:eastAsia="彩虹粗仿宋" w:cs="Arial" w:hint="eastAsia"/>
          <w:color w:val="000000" w:themeColor="text1"/>
          <w:kern w:val="0"/>
          <w:sz w:val="24"/>
          <w:szCs w:val="24"/>
        </w:rPr>
        <w:t>1.</w:t>
      </w:r>
      <w:r>
        <w:rPr>
          <w:rFonts w:ascii="彩虹粗仿宋" w:eastAsia="彩虹粗仿宋" w:hAnsi="宋体" w:cs="Arial" w:hint="eastAsia"/>
          <w:color w:val="000000" w:themeColor="text1"/>
          <w:kern w:val="0"/>
          <w:sz w:val="24"/>
          <w:szCs w:val="24"/>
        </w:rPr>
        <w:t xml:space="preserve"> </w:t>
      </w:r>
      <w:r>
        <w:rPr>
          <w:rFonts w:ascii="彩虹粗仿宋" w:eastAsia="彩虹粗仿宋" w:cs="Arial" w:hint="eastAsia"/>
          <w:color w:val="000000" w:themeColor="text1"/>
          <w:kern w:val="0"/>
          <w:sz w:val="24"/>
          <w:szCs w:val="24"/>
        </w:rPr>
        <w:t>当任一类基金份额净值小数点后4位以内（含第4位）发生错误时，视为该类基金份额估值错误；基金份额净值计算出现错误时，基金管理人应当立即予以纠正，通报基金托管人，并采取合理的措施防止损失进一步扩大；错误偏差达到该类基金份额净值的0.25%时，基金管理人应当通报基金托管人并报中国证监会备案；错误偏差达到该类基金份额净值的0.50%时，基金管理人应当公告，通报基金托管人并报中国证监会备案；当发生净值计算错误时，由基金管理人负责处理，由此给基金份额持有人和基金造成损失的，应由基金管理人先行赔付，基金管理人按差错情形，有权向其他当事人追偿</w:t>
      </w:r>
      <w:r>
        <w:rPr>
          <w:rFonts w:ascii="彩虹粗仿宋" w:eastAsia="彩虹粗仿宋" w:hAnsi="宋体" w:cs="Arial" w:hint="eastAsia"/>
          <w:color w:val="000000" w:themeColor="text1"/>
          <w:kern w:val="0"/>
          <w:sz w:val="24"/>
          <w:szCs w:val="24"/>
        </w:rPr>
        <w:t>，基金托管人应给予必要的协助与配合</w:t>
      </w:r>
      <w:r>
        <w:rPr>
          <w:rFonts w:ascii="彩虹粗仿宋" w:eastAsia="彩虹粗仿宋" w:cs="Arial" w:hint="eastAsia"/>
          <w:color w:val="000000" w:themeColor="text1"/>
          <w:kern w:val="0"/>
          <w:sz w:val="24"/>
          <w:szCs w:val="24"/>
        </w:rPr>
        <w:t>。</w:t>
      </w:r>
    </w:p>
    <w:p w14:paraId="0580DFAE" w14:textId="77777777" w:rsidR="00A818E6" w:rsidRDefault="008434C4">
      <w:pPr>
        <w:adjustRightInd w:val="0"/>
        <w:snapToGrid w:val="0"/>
        <w:ind w:firstLineChars="200" w:firstLine="480"/>
        <w:rPr>
          <w:rFonts w:ascii="彩虹粗仿宋" w:eastAsia="彩虹粗仿宋" w:cs="Arial"/>
          <w:color w:val="000000" w:themeColor="text1"/>
          <w:kern w:val="0"/>
          <w:sz w:val="24"/>
          <w:szCs w:val="24"/>
        </w:rPr>
      </w:pPr>
      <w:r>
        <w:rPr>
          <w:rFonts w:ascii="彩虹粗仿宋" w:eastAsia="彩虹粗仿宋" w:cs="Arial" w:hint="eastAsia"/>
          <w:color w:val="000000" w:themeColor="text1"/>
          <w:kern w:val="0"/>
          <w:sz w:val="24"/>
          <w:szCs w:val="24"/>
        </w:rPr>
        <w:t>2.当基金份额净值计算差错给基金和基金份额持有人造成损失需要进行赔偿时，基金管理人和基金托管人应根据实际情况界定双方承担的责任，经确认后按以下条款进行赔偿：</w:t>
      </w:r>
    </w:p>
    <w:p w14:paraId="3C11CCFC"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cs="Arial" w:hint="eastAsia"/>
          <w:color w:val="000000" w:themeColor="text1"/>
          <w:kern w:val="0"/>
          <w:sz w:val="24"/>
          <w:szCs w:val="24"/>
        </w:rPr>
        <w:t>(1)本基金的基金会计责任方由基金管理人担任，与本基金有关的会计问题，如经双方在平等基础上充分讨论后，尚不能达成一致时，按基金管理人的建议执</w:t>
      </w:r>
      <w:r>
        <w:rPr>
          <w:rFonts w:ascii="彩虹粗仿宋" w:eastAsia="彩虹粗仿宋" w:cs="Arial" w:hint="eastAsia"/>
          <w:color w:val="000000" w:themeColor="text1"/>
          <w:kern w:val="0"/>
          <w:sz w:val="24"/>
          <w:szCs w:val="24"/>
        </w:rPr>
        <w:lastRenderedPageBreak/>
        <w:t>行，由此给基金份额持有人和基金财产造成的</w:t>
      </w:r>
      <w:r>
        <w:rPr>
          <w:rFonts w:ascii="彩虹粗仿宋" w:eastAsia="彩虹粗仿宋" w:hAnsi="宋体" w:cs="Arial" w:hint="eastAsia"/>
          <w:color w:val="000000" w:themeColor="text1"/>
          <w:kern w:val="0"/>
          <w:sz w:val="24"/>
          <w:szCs w:val="24"/>
        </w:rPr>
        <w:t>损失，由基金管理人负责赔付。</w:t>
      </w:r>
    </w:p>
    <w:p w14:paraId="11F1B0EC"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若基金管理人计算的各类基金份额净值已由基金托管人复核确认后公告，而且基金托管人未对计算过程提出疑义或要求基金管理人书面说明，该类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001D0B4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如基金管理人和基金托管人对各类基金份额净值的计算结果，虽然多次重新计算和核对，尚不能达成一致时，为避免不能按时公布各类基金份额净值的情形，以基金管理人的计算结果对外公布，由此给基金份额持有人和基金造成的损失，由基金管理人负责赔付。</w:t>
      </w:r>
    </w:p>
    <w:p w14:paraId="754574F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(4)由于基金管理人提供的信息错误（包括但不限于基金申购或赎回金额等），进而导致基金份额净值计算错误而引起的基金份额持有人和基金财产的损失，由基金管理人负责赔付。</w:t>
      </w:r>
    </w:p>
    <w:p w14:paraId="04A4CBA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由于不可抗力，或证券/期货交易场所、登记结算机构及存款银行等第三方机构发送的数据错误，或国家会计政策变更、市场规则变更等非基金管理人与基金托管人原因，基金管理人和基金托管人虽然已经采取必要、适当、合理的措施进行检查，但未能发现错误的，由此造成的基金资产估值错误，基金管理人和基金托管人免除赔偿责任。但基金管理人、基金托管人应当积极采取必要的措施消除或减轻由此造成的影响。</w:t>
      </w:r>
    </w:p>
    <w:p w14:paraId="41247B4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4.基金管理人和基金托管人由于各自技术系统设置而产生的净值计算尾差，以基金管理人计算结果为准。</w:t>
      </w:r>
    </w:p>
    <w:p w14:paraId="2F9A884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5.前述内容如法律法规或者监管部门另有规定的，从其规定。如果行业另有通行做法，双方当事人应本着平等和保护基金份额持有人利益的原则进行协商。</w:t>
      </w:r>
    </w:p>
    <w:p w14:paraId="566A965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（四）暂停估值的情形</w:t>
      </w:r>
    </w:p>
    <w:p w14:paraId="5217125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1.基金投资所涉及的证券/期货交易市场或外汇市场遇法定节假日或因其他原因暂停营业时；</w:t>
      </w:r>
    </w:p>
    <w:p w14:paraId="5A27D2B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2.因不可抗力致使基金管理人、基金托管人无法准确评估基金资产价值时；</w:t>
      </w:r>
    </w:p>
    <w:p w14:paraId="44CCD13D"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3.当特定资产占前一估值日基金资产净值50%以上的，经与基金托管人协商确认后，基金管理人应当暂停估值；</w:t>
      </w:r>
    </w:p>
    <w:p w14:paraId="0083E19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4.法律法规、中国证监会和基金合同认定的其它情形。</w:t>
      </w:r>
    </w:p>
    <w:p w14:paraId="5E7100F7"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（五）基金会计制度</w:t>
      </w:r>
    </w:p>
    <w:p w14:paraId="303EF1A7"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按国家有关部门规定的会计制度执行。</w:t>
      </w:r>
    </w:p>
    <w:p w14:paraId="79C96483"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（六）基金账册的建立</w:t>
      </w:r>
    </w:p>
    <w:p w14:paraId="3E21F56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基金管理人进行基金会计核算并编制基金财务会计报告。基金管理人独立地设置、记录和保管本基金的全套账册。若基金管理人和基金托管人对会计处理方</w:t>
      </w:r>
      <w:r>
        <w:rPr>
          <w:rFonts w:ascii="彩虹粗仿宋" w:eastAsia="彩虹粗仿宋" w:hAnsi="宋体" w:cs="Arial" w:hint="eastAsia"/>
          <w:color w:val="000000" w:themeColor="text1"/>
          <w:kern w:val="0"/>
          <w:sz w:val="24"/>
          <w:szCs w:val="24"/>
        </w:rPr>
        <w:lastRenderedPageBreak/>
        <w:t>法存在分歧，应以基金管理人的处理方法为准。若当日核对不符，暂时无法查找到错账的原因而影响到基金净值信息的计算和公告的，以基金管理人的账册为准。</w:t>
      </w:r>
    </w:p>
    <w:p w14:paraId="37D0DF37"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（七）基金财务报表与报告的编制和复核</w:t>
      </w:r>
    </w:p>
    <w:p w14:paraId="6310168C"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1.财务报表的编制</w:t>
      </w:r>
    </w:p>
    <w:p w14:paraId="7B3DE35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基金财务报表由基金管理人编制，基金托管人复核。</w:t>
      </w:r>
    </w:p>
    <w:p w14:paraId="104711FE"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2.报表复核</w:t>
      </w:r>
    </w:p>
    <w:p w14:paraId="1189F62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基金托管人在收到基金管理人编制的基金财务报表后，进行独立的复核。核对不符时，应及时通知基金管理人共同查出原因，进行调整，直至双方数据完全一致。</w:t>
      </w:r>
    </w:p>
    <w:p w14:paraId="74B4BE1C"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3.财务报表的编制与复核时间安排</w:t>
      </w:r>
    </w:p>
    <w:p w14:paraId="54EE1BC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(1)报表的编制</w:t>
      </w:r>
    </w:p>
    <w:p w14:paraId="4DAB7E0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w:t>
      </w:r>
      <w:r>
        <w:rPr>
          <w:rFonts w:ascii="彩虹粗仿宋" w:eastAsia="彩虹粗仿宋" w:hAnsi="宋体" w:cs="Arial" w:hint="eastAsia"/>
          <w:color w:val="000000" w:themeColor="text1"/>
          <w:sz w:val="24"/>
        </w:rPr>
        <w:t>应当在每月结束后5个工作日内完成月度报表的编制；</w:t>
      </w:r>
      <w:r>
        <w:rPr>
          <w:rFonts w:ascii="彩虹粗仿宋" w:eastAsia="彩虹粗仿宋" w:hAnsi="宋体" w:cs="Arial" w:hint="eastAsia"/>
          <w:color w:val="000000" w:themeColor="text1"/>
          <w:kern w:val="0"/>
          <w:sz w:val="24"/>
          <w:szCs w:val="24"/>
        </w:rPr>
        <w:t>在每个季度结束之日起15个工作日内完成基金季度报告的编制；在上半年结束之日起2个月内完成基金中期报告的编制；在每年结束之日起3个月内完成基金年度报告的编制。基金年度报告的财务会计报告应当经过审计。《基金合同》生效不足两个月的，基金管理人可以不编制当期季度报告、中期报告或者年度报告。</w:t>
      </w:r>
    </w:p>
    <w:p w14:paraId="470E8DE3" w14:textId="77777777" w:rsidR="00A818E6" w:rsidRDefault="008434C4">
      <w:pPr>
        <w:pStyle w:val="a0"/>
        <w:adjustRightInd w:val="0"/>
        <w:snapToGrid w:val="0"/>
        <w:ind w:firstLine="480"/>
        <w:rPr>
          <w:rFonts w:ascii="彩虹粗仿宋" w:eastAsia="彩虹粗仿宋" w:hAnsi="宋体" w:cs="Arial"/>
          <w:color w:val="000000" w:themeColor="text1"/>
          <w:kern w:val="0"/>
          <w:sz w:val="24"/>
        </w:rPr>
      </w:pPr>
      <w:r>
        <w:rPr>
          <w:rFonts w:ascii="彩虹粗仿宋" w:eastAsia="彩虹粗仿宋" w:hAnsi="宋体" w:cs="Arial" w:hint="eastAsia"/>
          <w:color w:val="000000" w:themeColor="text1"/>
          <w:kern w:val="0"/>
          <w:sz w:val="24"/>
        </w:rPr>
        <w:t>(2)报表的复核</w:t>
      </w:r>
    </w:p>
    <w:p w14:paraId="146611E9" w14:textId="77777777" w:rsidR="00A818E6" w:rsidRDefault="008434C4">
      <w:pPr>
        <w:pStyle w:val="a0"/>
        <w:adjustRightInd w:val="0"/>
        <w:snapToGrid w:val="0"/>
        <w:ind w:firstLine="480"/>
        <w:rPr>
          <w:rFonts w:ascii="彩虹粗仿宋" w:eastAsia="彩虹粗仿宋" w:hAnsi="宋体" w:cs="Arial"/>
          <w:color w:val="000000" w:themeColor="text1"/>
          <w:kern w:val="0"/>
          <w:sz w:val="24"/>
        </w:rPr>
      </w:pPr>
      <w:r>
        <w:rPr>
          <w:rFonts w:ascii="彩虹粗仿宋" w:eastAsia="彩虹粗仿宋" w:hAnsi="宋体" w:cs="Arial" w:hint="eastAsia"/>
          <w:color w:val="000000" w:themeColor="text1"/>
          <w:kern w:val="0"/>
          <w:sz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2AC9E652" w14:textId="77777777" w:rsidR="00A818E6" w:rsidRDefault="008434C4">
      <w:pPr>
        <w:pStyle w:val="a0"/>
        <w:adjustRightInd w:val="0"/>
        <w:snapToGrid w:val="0"/>
        <w:ind w:firstLine="480"/>
        <w:rPr>
          <w:rFonts w:ascii="彩虹粗仿宋" w:eastAsia="彩虹粗仿宋" w:hAnsi="宋体" w:cs="Arial"/>
          <w:color w:val="000000" w:themeColor="text1"/>
          <w:kern w:val="0"/>
          <w:sz w:val="24"/>
        </w:rPr>
      </w:pPr>
      <w:r>
        <w:rPr>
          <w:rFonts w:ascii="彩虹粗仿宋" w:eastAsia="彩虹粗仿宋" w:hAnsi="宋体" w:cs="Arial" w:hint="eastAsia"/>
          <w:color w:val="000000" w:themeColor="text1"/>
          <w:kern w:val="0"/>
          <w:sz w:val="24"/>
        </w:rPr>
        <w:t>基金管理人应留足充分的时间，便于基金托管人复核相关报表及报告。</w:t>
      </w:r>
      <w:r>
        <w:rPr>
          <w:rFonts w:ascii="彩虹粗仿宋" w:eastAsia="彩虹粗仿宋" w:hAnsi="宋体" w:cs="Arial" w:hint="eastAsia"/>
          <w:color w:val="000000" w:themeColor="text1"/>
          <w:sz w:val="24"/>
        </w:rPr>
        <w:t>如果基金管理人与基金托管人不能于应当发布公告之日之前就相关报表达成一致，基金管理人按照其编制的报表对外发布公告，基金托管人有权就相关情况报中国证监会备案。</w:t>
      </w:r>
    </w:p>
    <w:p w14:paraId="1E95A6FE" w14:textId="77777777" w:rsidR="00A818E6" w:rsidRDefault="008434C4">
      <w:pPr>
        <w:pStyle w:val="a0"/>
        <w:adjustRightInd w:val="0"/>
        <w:snapToGrid w:val="0"/>
        <w:ind w:firstLine="480"/>
        <w:rPr>
          <w:rFonts w:ascii="彩虹粗仿宋" w:eastAsia="彩虹粗仿宋" w:hAnsi="宋体" w:cs="Arial"/>
          <w:color w:val="000000" w:themeColor="text1"/>
          <w:kern w:val="0"/>
          <w:sz w:val="24"/>
        </w:rPr>
      </w:pPr>
      <w:r>
        <w:rPr>
          <w:rFonts w:ascii="彩虹粗仿宋" w:eastAsia="彩虹粗仿宋" w:hAnsi="宋体" w:cs="Arial" w:hint="eastAsia"/>
          <w:color w:val="000000" w:themeColor="text1"/>
          <w:kern w:val="0"/>
          <w:sz w:val="24"/>
        </w:rPr>
        <w:t>（八）基金管理人应在编制季度报告、中期报告或者年度报告之前及时向基金托管人提供基金业绩比较基准的基础数据和编制结果。</w:t>
      </w:r>
    </w:p>
    <w:p w14:paraId="6E341186" w14:textId="77777777" w:rsidR="00A818E6" w:rsidRDefault="008434C4">
      <w:pPr>
        <w:pStyle w:val="a0"/>
        <w:adjustRightInd w:val="0"/>
        <w:snapToGrid w:val="0"/>
        <w:ind w:firstLine="480"/>
        <w:rPr>
          <w:rFonts w:ascii="彩虹粗仿宋" w:eastAsia="彩虹粗仿宋" w:hAnsi="宋体" w:cs="Arial"/>
          <w:color w:val="000000" w:themeColor="text1"/>
          <w:kern w:val="0"/>
          <w:sz w:val="24"/>
        </w:rPr>
      </w:pPr>
      <w:r>
        <w:rPr>
          <w:rFonts w:ascii="彩虹粗仿宋" w:eastAsia="彩虹粗仿宋" w:hAnsi="宋体" w:cs="Arial" w:hint="eastAsia"/>
          <w:color w:val="000000" w:themeColor="text1"/>
          <w:kern w:val="0"/>
          <w:sz w:val="24"/>
        </w:rPr>
        <w:t>（九）实施侧袋机制期间的基金资产估值</w:t>
      </w:r>
    </w:p>
    <w:p w14:paraId="5E9124CF" w14:textId="77777777" w:rsidR="00A818E6" w:rsidRDefault="008434C4">
      <w:pPr>
        <w:pStyle w:val="a0"/>
        <w:adjustRightInd w:val="0"/>
        <w:snapToGrid w:val="0"/>
        <w:ind w:firstLine="480"/>
        <w:rPr>
          <w:rFonts w:ascii="彩虹粗仿宋" w:eastAsia="彩虹粗仿宋" w:hAnsi="宋体" w:cs="Arial"/>
          <w:color w:val="000000" w:themeColor="text1"/>
          <w:kern w:val="0"/>
          <w:sz w:val="24"/>
        </w:rPr>
      </w:pPr>
      <w:r>
        <w:rPr>
          <w:rFonts w:ascii="彩虹粗仿宋" w:eastAsia="彩虹粗仿宋" w:hAnsi="宋体" w:cs="Arial" w:hint="eastAsia"/>
          <w:color w:val="000000" w:themeColor="text1"/>
          <w:kern w:val="0"/>
          <w:sz w:val="24"/>
        </w:rPr>
        <w:t>本基金实施侧袋机制的，应根据本部分的约定对主袋账户资产进行估值并披露主袋账户的基金净值信息，暂停披露侧袋账户份额净值。</w:t>
      </w:r>
    </w:p>
    <w:bookmarkEnd w:id="86"/>
    <w:p w14:paraId="013DFF08" w14:textId="77777777" w:rsidR="00A818E6" w:rsidRDefault="00A818E6">
      <w:pPr>
        <w:pStyle w:val="a0"/>
        <w:adjustRightInd w:val="0"/>
        <w:snapToGrid w:val="0"/>
        <w:ind w:firstLineChars="0" w:firstLine="0"/>
        <w:rPr>
          <w:rFonts w:ascii="彩虹粗仿宋" w:eastAsia="彩虹粗仿宋" w:hAnsi="宋体" w:cs="Arial"/>
          <w:color w:val="000000" w:themeColor="text1"/>
          <w:kern w:val="0"/>
          <w:sz w:val="24"/>
        </w:rPr>
      </w:pPr>
    </w:p>
    <w:p w14:paraId="426D839D" w14:textId="77777777" w:rsidR="00A818E6" w:rsidRDefault="008434C4">
      <w:pPr>
        <w:pStyle w:val="2"/>
        <w:jc w:val="center"/>
        <w:rPr>
          <w:rFonts w:ascii="彩虹粗仿宋" w:eastAsia="彩虹粗仿宋"/>
          <w:color w:val="000000" w:themeColor="text1"/>
        </w:rPr>
      </w:pPr>
      <w:bookmarkStart w:id="88" w:name="_Toc124325893"/>
      <w:r>
        <w:rPr>
          <w:rFonts w:ascii="彩虹粗仿宋" w:eastAsia="彩虹粗仿宋" w:hint="eastAsia"/>
          <w:color w:val="000000" w:themeColor="text1"/>
        </w:rPr>
        <w:t>九、基金收益分配</w:t>
      </w:r>
      <w:bookmarkEnd w:id="88"/>
    </w:p>
    <w:p w14:paraId="7E5EF03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基金收益分配是指按规定将基金的可分配收益按基金份额进行比例分配。</w:t>
      </w:r>
    </w:p>
    <w:p w14:paraId="1B32F6B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（一）基金收益分配的原则</w:t>
      </w:r>
    </w:p>
    <w:p w14:paraId="0D2F273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基金收益分配应遵循下列原则：</w:t>
      </w:r>
    </w:p>
    <w:p w14:paraId="64FF476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1、在符合有关基金分红条件的前提下，基金管理人可以根据实际情况进行收益分配，具体分配方案以公告为准，若《基金合同》生效不满3个月可不进行收益分配；</w:t>
      </w:r>
    </w:p>
    <w:p w14:paraId="306455D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本基金收益分配方式分两种：现金分红与红利再投资，投资者可选择现金红利或将现金红利自动转为相应类别的基金份额进行再投资，且基金份额持有人可对A类、C类基金份额分别选择不同的分红方式；若投资者不选择，本基金默认的收益分配方式是现金分红；对于收益分配方式为红利再投资的基金份额，每份基金份额（原份额）所获得的红利再投资份额的持有期限，按原份额的持有期限计算；</w:t>
      </w:r>
    </w:p>
    <w:p w14:paraId="143E4E9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3、基金收益分配后各类基金份额净值不能低于面值，即基金收益分配基准日的各类基金份额净值减去该类每单位基金份额收益分配金额后不能低于面值；</w:t>
      </w:r>
    </w:p>
    <w:p w14:paraId="3559816C"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4、本基金同一类别的每一基金份额享有同等分配权；</w:t>
      </w:r>
    </w:p>
    <w:p w14:paraId="45C6D72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5、法律法规或监管机构另有规定的，从其规定。</w:t>
      </w:r>
    </w:p>
    <w:p w14:paraId="1C8531C6" w14:textId="7211CF73"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在不违反法律法规、基金合同的约定以及对基金份额持有人利益无实质性不利影响的情况下，基金管理人</w:t>
      </w:r>
      <w:r w:rsidR="00461B9D">
        <w:rPr>
          <w:rFonts w:ascii="彩虹粗仿宋" w:eastAsia="彩虹粗仿宋" w:hAnsi="宋体" w:cs="Arial" w:hint="eastAsia"/>
          <w:color w:val="000000" w:themeColor="text1"/>
          <w:kern w:val="0"/>
          <w:sz w:val="24"/>
          <w:szCs w:val="24"/>
        </w:rPr>
        <w:t>经与基金托管人协商一致并</w:t>
      </w:r>
      <w:r>
        <w:rPr>
          <w:rFonts w:ascii="彩虹粗仿宋" w:eastAsia="彩虹粗仿宋" w:hAnsi="宋体" w:cs="Arial" w:hint="eastAsia"/>
          <w:color w:val="000000" w:themeColor="text1"/>
          <w:kern w:val="0"/>
          <w:sz w:val="24"/>
          <w:szCs w:val="24"/>
        </w:rPr>
        <w:t>在履行适当程序后可调整基金收益的分配原则和支付方式。</w:t>
      </w:r>
    </w:p>
    <w:p w14:paraId="3CD32D0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（二）基金收益分配的时间和程序</w:t>
      </w:r>
    </w:p>
    <w:p w14:paraId="0C72626C" w14:textId="004ACB1A"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收益分配方案由基金管理人拟定，并由基金托管人复核，依据相关规定在规定媒介公告。基金收益分配方案公告后(依据具体方案的规定)，基金管理人就支付的现金红利向基金托管人发送划款指令，基金托管人按照基金管理人的指令及时进行分红资金的划付。</w:t>
      </w:r>
    </w:p>
    <w:p w14:paraId="1B3681A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1518DB4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（三）实施侧袋机制期间的收益分配</w:t>
      </w:r>
    </w:p>
    <w:p w14:paraId="75A0228E"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本基金实施侧袋机制的，侧袋账户不进行收益分配，详见招募说明书的规定或相关公告。</w:t>
      </w:r>
    </w:p>
    <w:p w14:paraId="1B5A888A" w14:textId="77777777" w:rsidR="00A818E6" w:rsidRDefault="00A818E6">
      <w:pPr>
        <w:adjustRightInd w:val="0"/>
        <w:snapToGrid w:val="0"/>
        <w:ind w:firstLineChars="200" w:firstLine="480"/>
        <w:rPr>
          <w:rFonts w:ascii="彩虹粗仿宋" w:eastAsia="彩虹粗仿宋" w:hAnsi="宋体" w:cs="Arial"/>
          <w:color w:val="000000" w:themeColor="text1"/>
          <w:kern w:val="0"/>
          <w:sz w:val="24"/>
          <w:szCs w:val="24"/>
        </w:rPr>
      </w:pPr>
    </w:p>
    <w:p w14:paraId="7B34DFC9" w14:textId="77777777" w:rsidR="00A818E6" w:rsidRDefault="008434C4">
      <w:pPr>
        <w:pStyle w:val="2"/>
        <w:jc w:val="center"/>
        <w:rPr>
          <w:rFonts w:ascii="彩虹粗仿宋" w:eastAsia="彩虹粗仿宋"/>
          <w:color w:val="000000" w:themeColor="text1"/>
        </w:rPr>
      </w:pPr>
      <w:bookmarkStart w:id="89" w:name="_Toc124325894"/>
      <w:r>
        <w:rPr>
          <w:rFonts w:ascii="彩虹粗仿宋" w:eastAsia="彩虹粗仿宋" w:hint="eastAsia"/>
          <w:color w:val="000000" w:themeColor="text1"/>
        </w:rPr>
        <w:t>十、基金信息披露</w:t>
      </w:r>
      <w:bookmarkEnd w:id="89"/>
    </w:p>
    <w:p w14:paraId="367A111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（一）保密义务</w:t>
      </w:r>
    </w:p>
    <w:p w14:paraId="03ED742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基金托管人和基金管理人应按法律法规、《基金合同》的有关规定进行信息</w:t>
      </w:r>
      <w:r>
        <w:rPr>
          <w:rFonts w:ascii="彩虹粗仿宋" w:eastAsia="彩虹粗仿宋" w:hAnsi="宋体" w:cs="Arial" w:hint="eastAsia"/>
          <w:color w:val="000000" w:themeColor="text1"/>
          <w:kern w:val="0"/>
          <w:sz w:val="24"/>
          <w:szCs w:val="24"/>
        </w:rPr>
        <w:lastRenderedPageBreak/>
        <w:t>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14:paraId="478D876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1.非因基金管理人和基金托管人的原因导致保密信息被披露、泄露或公开；</w:t>
      </w:r>
    </w:p>
    <w:p w14:paraId="1B90841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2.基金管理人和基金托管人为遵守和服从法院判决或裁定、仲裁裁决或中国证监会等监管机构的命令、决定所做出的信息披露或公开；</w:t>
      </w:r>
    </w:p>
    <w:p w14:paraId="1227272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3.因审计、法律等外部专业顾问提供服务而向其提供的情况。</w:t>
      </w:r>
    </w:p>
    <w:p w14:paraId="031554F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（二）信息披露的内容</w:t>
      </w:r>
    </w:p>
    <w:p w14:paraId="6468524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的信息披露内容主要包括基金招募说明书、《基金合同》、基金托管协议、基金产品资料概要、基金份额发售公告、《基金合同》生效公告、基金净值信息、基金份额申购/赎回价格、基金定期报告（包括基金年度报告、基金中期报告和基金季度报告）、临时报告、澄清公告、基金份额持有人大会决议、清算报告、港股通标的股票投资情况公告、股指期货交易情况公告、国债期货交易情况公告、股票期权投资情况公告、信用衍生品投资情况公告、资产支持证券投资情况公告、证券公司短期公司债券投资情况公告、融资参与情况公告、实施侧袋机制期间的信息披露、中国证监会规定的其他信息。本基金投资存托凭证的信息披露依照境内上市交易的股票执行。基金年度报告中的财务会计报告应当经过符合《中华人民共和国证券法》规定的会计师事务所审计。</w:t>
      </w:r>
    </w:p>
    <w:p w14:paraId="1128640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（三）基金托管人和基金管理人在信息披露中的职责和信息披露程序</w:t>
      </w:r>
    </w:p>
    <w:p w14:paraId="5591436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1.职责</w:t>
      </w:r>
    </w:p>
    <w:p w14:paraId="40D43D8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托管人和基金管理人在信息披露过程中应以保护基金份额持有人利益为宗旨，诚实信用，严守秘密。基金管理人负责办理与基金有关的信息披露事宜，基金托管人应当按照相关法律法规规定和《基金合同》的约定，对于上一款规定的应由基金托管人复核的事项进行复核，基金托管人复核无误后，由基金管理人予以公布。基金管理人在信息披露时，应说明基金托管人所复核的数据和信息。</w:t>
      </w:r>
      <w:r w:rsidR="00A40E38" w:rsidRPr="00A40E38">
        <w:rPr>
          <w:rFonts w:ascii="彩虹粗仿宋" w:eastAsia="彩虹粗仿宋" w:hAnsi="宋体" w:cs="Arial" w:hint="eastAsia"/>
          <w:color w:val="000000" w:themeColor="text1"/>
          <w:kern w:val="0"/>
          <w:sz w:val="24"/>
          <w:szCs w:val="24"/>
        </w:rPr>
        <w:t>对于基金托管人复核结果与管理人无法达成一致的，基金管理人应按照有关法律法规进行信息披露。</w:t>
      </w:r>
    </w:p>
    <w:p w14:paraId="2949663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对于不需要基金托管人复核的信息，基金管理人在公告前应告知基金托管人。</w:t>
      </w:r>
    </w:p>
    <w:p w14:paraId="7FE2533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基金管理人和基金托管人应积极配合、互相监督，保证其履行按照法定方式和时限披露的义务。</w:t>
      </w:r>
    </w:p>
    <w:p w14:paraId="289E867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基金托管人应当在中国证监会规定的时间内，将应予披露的基金信息通过符合中国证监会规定条件的全国性报刊（以下简称“规定报刊”）及《信息披露办法》规定的互联网网站（以下简称“规定网站”）等媒介披露，并保证基金投资者能够按照《基金合同》约定的时间和方式查阅或者复制公开披露的信息资</w:t>
      </w:r>
      <w:r>
        <w:rPr>
          <w:rFonts w:ascii="彩虹粗仿宋" w:eastAsia="彩虹粗仿宋" w:hAnsi="宋体" w:cs="Arial" w:hint="eastAsia"/>
          <w:color w:val="000000" w:themeColor="text1"/>
          <w:kern w:val="0"/>
          <w:sz w:val="24"/>
          <w:szCs w:val="24"/>
        </w:rPr>
        <w:lastRenderedPageBreak/>
        <w:t>料。</w:t>
      </w:r>
    </w:p>
    <w:p w14:paraId="649A8E2D"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当出现下述情况时，基金管理人和基金托管人可暂停或延迟披露基金相关信息：</w:t>
      </w:r>
    </w:p>
    <w:p w14:paraId="184D3E9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（1）不可抗力；</w:t>
      </w:r>
    </w:p>
    <w:p w14:paraId="66673CC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（2）发生暂停估值的情形；</w:t>
      </w:r>
    </w:p>
    <w:p w14:paraId="2193D69E"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（3）法律法规、基金合同或中国证监会规定的情况。</w:t>
      </w:r>
    </w:p>
    <w:p w14:paraId="3F9D3EF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2.程序</w:t>
      </w:r>
    </w:p>
    <w:p w14:paraId="0E8491B3"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按有关规定须经基金托管人复核的信息披露文件，由基金管理人起草、并经基金托管人复核后由基金管理人公告。发生《基金合同》中规定需要披露的事项时，按《基金合同》规定公布。</w:t>
      </w:r>
    </w:p>
    <w:p w14:paraId="0ED633F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3.信息文本的存放</w:t>
      </w:r>
    </w:p>
    <w:p w14:paraId="4A93ECC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依法必须披露的信息发布后，基金管理人、基金托管人应当按照相关法律法规规定将信息置备于公司住所，供社会公众查阅、复制。投资者在支付工本费后可在合理时间获得上述文件的复制件或复印件。基金管理人和基金托管人应保证文本的内容与所公告的内容完全一致。</w:t>
      </w:r>
    </w:p>
    <w:p w14:paraId="27EEB58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（四）实施侧袋机制期间的信息披露</w:t>
      </w:r>
    </w:p>
    <w:p w14:paraId="0BB5E657"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本基金实施侧袋机制的，相关信息披露义务人应当根据法律法规、基金合同和招募说明书的规定进行信息披露，详见招募说明书的规定或相关公告。</w:t>
      </w:r>
    </w:p>
    <w:p w14:paraId="5C524E3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（五）法律法规或监管部门对适用于本基金的信息披露另有规定的，从其规定。如规定发生变化的，从其最新规定。</w:t>
      </w:r>
    </w:p>
    <w:p w14:paraId="5C8FF0DE" w14:textId="77777777" w:rsidR="00A818E6" w:rsidRDefault="00A818E6">
      <w:pPr>
        <w:adjustRightInd w:val="0"/>
        <w:snapToGrid w:val="0"/>
        <w:ind w:firstLineChars="200" w:firstLine="480"/>
        <w:rPr>
          <w:rFonts w:ascii="彩虹粗仿宋" w:eastAsia="彩虹粗仿宋" w:hAnsi="宋体" w:cs="Arial"/>
          <w:color w:val="000000" w:themeColor="text1"/>
          <w:kern w:val="0"/>
          <w:sz w:val="24"/>
          <w:szCs w:val="24"/>
        </w:rPr>
      </w:pPr>
    </w:p>
    <w:p w14:paraId="191860C6" w14:textId="77777777" w:rsidR="00A818E6" w:rsidRDefault="008434C4">
      <w:pPr>
        <w:pStyle w:val="2"/>
        <w:jc w:val="center"/>
        <w:rPr>
          <w:rFonts w:ascii="彩虹粗仿宋" w:eastAsia="彩虹粗仿宋"/>
          <w:color w:val="000000" w:themeColor="text1"/>
        </w:rPr>
      </w:pPr>
      <w:bookmarkStart w:id="90" w:name="_Toc124325895"/>
      <w:r>
        <w:rPr>
          <w:rFonts w:ascii="彩虹粗仿宋" w:eastAsia="彩虹粗仿宋" w:hint="eastAsia"/>
          <w:color w:val="000000" w:themeColor="text1"/>
        </w:rPr>
        <w:t>十一、基金费用</w:t>
      </w:r>
      <w:bookmarkEnd w:id="90"/>
    </w:p>
    <w:p w14:paraId="5745438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（一）基金管理费的计提比例和计提方法</w:t>
      </w:r>
    </w:p>
    <w:p w14:paraId="173C635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本基金的管理费按前一日基金资产净值的1.20%年费率计提。管理费的计算方法如下：</w:t>
      </w:r>
    </w:p>
    <w:p w14:paraId="02BBDD8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H＝E×1.20%÷当年天数</w:t>
      </w:r>
    </w:p>
    <w:p w14:paraId="7C2DF3C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H为每日应计提的基金管理费</w:t>
      </w:r>
    </w:p>
    <w:p w14:paraId="09EE2FE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E为前一日的基金资产净值</w:t>
      </w:r>
    </w:p>
    <w:p w14:paraId="11B07F3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（二）基金托管费的计提比例和计提方法</w:t>
      </w:r>
    </w:p>
    <w:p w14:paraId="3B0D5A1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本基金的托管费按前一日基金资产净值的0.20%的年费率计提。托管费的计算方法如下：</w:t>
      </w:r>
    </w:p>
    <w:p w14:paraId="0A45060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H＝E×0.20%÷当年天数</w:t>
      </w:r>
    </w:p>
    <w:p w14:paraId="1505422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H为每日应计提的基金托管费</w:t>
      </w:r>
    </w:p>
    <w:p w14:paraId="05C8164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E为前一日的基金资产净值</w:t>
      </w:r>
    </w:p>
    <w:p w14:paraId="680AA303"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（三）基金销售服务费</w:t>
      </w:r>
    </w:p>
    <w:p w14:paraId="7B1C9D67" w14:textId="77777777" w:rsidR="00A818E6" w:rsidRPr="00636EFB" w:rsidRDefault="008434C4" w:rsidP="00636EFB">
      <w:pPr>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本基金</w:t>
      </w:r>
      <w:r w:rsidRPr="00636EFB">
        <w:rPr>
          <w:rFonts w:ascii="彩虹粗仿宋" w:eastAsia="彩虹粗仿宋" w:hAnsi="宋体" w:cs="Arial"/>
          <w:color w:val="000000" w:themeColor="text1"/>
          <w:kern w:val="0"/>
          <w:sz w:val="24"/>
          <w:szCs w:val="24"/>
        </w:rPr>
        <w:t>A</w:t>
      </w:r>
      <w:r w:rsidRPr="00636EFB">
        <w:rPr>
          <w:rFonts w:ascii="彩虹粗仿宋" w:eastAsia="彩虹粗仿宋" w:hAnsi="宋体" w:cs="Arial" w:hint="eastAsia"/>
          <w:color w:val="000000" w:themeColor="text1"/>
          <w:kern w:val="0"/>
          <w:sz w:val="24"/>
          <w:szCs w:val="24"/>
        </w:rPr>
        <w:t>类基金份额不收取销售服务费，</w:t>
      </w:r>
      <w:r w:rsidRPr="00636EFB">
        <w:rPr>
          <w:rFonts w:ascii="彩虹粗仿宋" w:eastAsia="彩虹粗仿宋" w:hAnsi="宋体" w:cs="Arial"/>
          <w:color w:val="000000" w:themeColor="text1"/>
          <w:kern w:val="0"/>
          <w:sz w:val="24"/>
          <w:szCs w:val="24"/>
        </w:rPr>
        <w:t>C</w:t>
      </w:r>
      <w:r w:rsidRPr="00636EFB">
        <w:rPr>
          <w:rFonts w:ascii="彩虹粗仿宋" w:eastAsia="彩虹粗仿宋" w:hAnsi="宋体" w:cs="Arial" w:hint="eastAsia"/>
          <w:color w:val="000000" w:themeColor="text1"/>
          <w:kern w:val="0"/>
          <w:sz w:val="24"/>
          <w:szCs w:val="24"/>
        </w:rPr>
        <w:t>类基金份额的销售服务费年费率为</w:t>
      </w:r>
      <w:r w:rsidRPr="00636EFB">
        <w:rPr>
          <w:rFonts w:ascii="彩虹粗仿宋" w:eastAsia="彩虹粗仿宋" w:hAnsi="宋体" w:cs="Arial"/>
          <w:color w:val="000000" w:themeColor="text1"/>
          <w:kern w:val="0"/>
          <w:sz w:val="24"/>
          <w:szCs w:val="24"/>
        </w:rPr>
        <w:t>0.40%</w:t>
      </w:r>
      <w:r w:rsidRPr="00636EFB">
        <w:rPr>
          <w:rFonts w:ascii="彩虹粗仿宋" w:eastAsia="彩虹粗仿宋" w:hAnsi="宋体" w:cs="Arial" w:hint="eastAsia"/>
          <w:color w:val="000000" w:themeColor="text1"/>
          <w:kern w:val="0"/>
          <w:sz w:val="24"/>
          <w:szCs w:val="24"/>
        </w:rPr>
        <w:t>。本基金销售服务费将专门用于本基金的销售与基金份额持有人服务。</w:t>
      </w:r>
    </w:p>
    <w:p w14:paraId="13CF672A" w14:textId="77777777" w:rsidR="00A818E6" w:rsidRPr="00636EFB" w:rsidRDefault="008434C4" w:rsidP="00636EFB">
      <w:pPr>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hint="eastAsia"/>
          <w:color w:val="000000" w:themeColor="text1"/>
          <w:kern w:val="0"/>
          <w:sz w:val="24"/>
          <w:szCs w:val="24"/>
        </w:rPr>
        <w:t>销售服务费按前一日</w:t>
      </w:r>
      <w:r w:rsidRPr="00636EFB">
        <w:rPr>
          <w:rFonts w:ascii="彩虹粗仿宋" w:eastAsia="彩虹粗仿宋" w:hAnsi="宋体" w:cs="Arial"/>
          <w:color w:val="000000" w:themeColor="text1"/>
          <w:kern w:val="0"/>
          <w:sz w:val="24"/>
          <w:szCs w:val="24"/>
        </w:rPr>
        <w:t>C</w:t>
      </w:r>
      <w:r w:rsidRPr="00636EFB">
        <w:rPr>
          <w:rFonts w:ascii="彩虹粗仿宋" w:eastAsia="彩虹粗仿宋" w:hAnsi="宋体" w:cs="Arial" w:hint="eastAsia"/>
          <w:color w:val="000000" w:themeColor="text1"/>
          <w:kern w:val="0"/>
          <w:sz w:val="24"/>
          <w:szCs w:val="24"/>
        </w:rPr>
        <w:t>类基金份额的基金资产净值的</w:t>
      </w:r>
      <w:r w:rsidRPr="00636EFB">
        <w:rPr>
          <w:rFonts w:ascii="彩虹粗仿宋" w:eastAsia="彩虹粗仿宋" w:hAnsi="宋体" w:cs="Arial"/>
          <w:color w:val="000000" w:themeColor="text1"/>
          <w:kern w:val="0"/>
          <w:sz w:val="24"/>
          <w:szCs w:val="24"/>
        </w:rPr>
        <w:t>0.40%</w:t>
      </w:r>
      <w:r w:rsidRPr="00636EFB">
        <w:rPr>
          <w:rFonts w:ascii="彩虹粗仿宋" w:eastAsia="彩虹粗仿宋" w:hAnsi="宋体" w:cs="Arial" w:hint="eastAsia"/>
          <w:color w:val="000000" w:themeColor="text1"/>
          <w:kern w:val="0"/>
          <w:sz w:val="24"/>
          <w:szCs w:val="24"/>
        </w:rPr>
        <w:t>年费率计提。计算方法如下：</w:t>
      </w:r>
    </w:p>
    <w:p w14:paraId="16B57BB8" w14:textId="77777777" w:rsidR="00A818E6" w:rsidRPr="00636EFB" w:rsidRDefault="008434C4" w:rsidP="00636EFB">
      <w:pPr>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color w:val="000000" w:themeColor="text1"/>
          <w:kern w:val="0"/>
          <w:sz w:val="24"/>
          <w:szCs w:val="24"/>
        </w:rPr>
        <w:t>H</w:t>
      </w: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E</w:t>
      </w:r>
      <w:r w:rsidRPr="00636EFB">
        <w:rPr>
          <w:rFonts w:ascii="彩虹粗仿宋" w:eastAsia="彩虹粗仿宋" w:hAnsi="宋体" w:cs="Arial" w:hint="eastAsia"/>
          <w:color w:val="000000" w:themeColor="text1"/>
          <w:kern w:val="0"/>
          <w:sz w:val="24"/>
          <w:szCs w:val="24"/>
        </w:rPr>
        <w:t>×</w:t>
      </w:r>
      <w:r w:rsidRPr="00636EFB">
        <w:rPr>
          <w:rFonts w:ascii="彩虹粗仿宋" w:eastAsia="彩虹粗仿宋" w:hAnsi="宋体" w:cs="Arial"/>
          <w:color w:val="000000" w:themeColor="text1"/>
          <w:kern w:val="0"/>
          <w:sz w:val="24"/>
          <w:szCs w:val="24"/>
        </w:rPr>
        <w:t>0.40%</w:t>
      </w:r>
      <w:r w:rsidRPr="00636EFB">
        <w:rPr>
          <w:rFonts w:ascii="彩虹粗仿宋" w:eastAsia="彩虹粗仿宋" w:hAnsi="宋体" w:cs="Arial" w:hint="eastAsia"/>
          <w:color w:val="000000" w:themeColor="text1"/>
          <w:kern w:val="0"/>
          <w:sz w:val="24"/>
          <w:szCs w:val="24"/>
        </w:rPr>
        <w:t>÷当年天数</w:t>
      </w:r>
    </w:p>
    <w:p w14:paraId="4B5803EE" w14:textId="77777777" w:rsidR="00A818E6" w:rsidRPr="00636EFB" w:rsidRDefault="008434C4" w:rsidP="00636EFB">
      <w:pPr>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color w:val="000000" w:themeColor="text1"/>
          <w:kern w:val="0"/>
          <w:sz w:val="24"/>
          <w:szCs w:val="24"/>
        </w:rPr>
        <w:t>H</w:t>
      </w:r>
      <w:r w:rsidRPr="00636EFB">
        <w:rPr>
          <w:rFonts w:ascii="彩虹粗仿宋" w:eastAsia="彩虹粗仿宋" w:hAnsi="宋体" w:cs="Arial" w:hint="eastAsia"/>
          <w:color w:val="000000" w:themeColor="text1"/>
          <w:kern w:val="0"/>
          <w:sz w:val="24"/>
          <w:szCs w:val="24"/>
        </w:rPr>
        <w:t>为</w:t>
      </w:r>
      <w:r w:rsidRPr="00636EFB">
        <w:rPr>
          <w:rFonts w:ascii="彩虹粗仿宋" w:eastAsia="彩虹粗仿宋" w:hAnsi="宋体" w:cs="Arial"/>
          <w:color w:val="000000" w:themeColor="text1"/>
          <w:kern w:val="0"/>
          <w:sz w:val="24"/>
          <w:szCs w:val="24"/>
        </w:rPr>
        <w:t>C</w:t>
      </w:r>
      <w:r w:rsidRPr="00636EFB">
        <w:rPr>
          <w:rFonts w:ascii="彩虹粗仿宋" w:eastAsia="彩虹粗仿宋" w:hAnsi="宋体" w:cs="Arial" w:hint="eastAsia"/>
          <w:color w:val="000000" w:themeColor="text1"/>
          <w:kern w:val="0"/>
          <w:sz w:val="24"/>
          <w:szCs w:val="24"/>
        </w:rPr>
        <w:t>类基金份额每日应计提的销售服务费</w:t>
      </w:r>
    </w:p>
    <w:p w14:paraId="7812581B" w14:textId="32720D6A"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sidRPr="00636EFB">
        <w:rPr>
          <w:rFonts w:ascii="彩虹粗仿宋" w:eastAsia="彩虹粗仿宋" w:hAnsi="宋体" w:cs="Arial"/>
          <w:color w:val="000000" w:themeColor="text1"/>
          <w:kern w:val="0"/>
          <w:sz w:val="24"/>
          <w:szCs w:val="24"/>
        </w:rPr>
        <w:t>E</w:t>
      </w:r>
      <w:r w:rsidRPr="00636EFB">
        <w:rPr>
          <w:rFonts w:ascii="彩虹粗仿宋" w:eastAsia="彩虹粗仿宋" w:hAnsi="宋体" w:cs="Arial" w:hint="eastAsia"/>
          <w:color w:val="000000" w:themeColor="text1"/>
          <w:kern w:val="0"/>
          <w:sz w:val="24"/>
          <w:szCs w:val="24"/>
        </w:rPr>
        <w:t>为</w:t>
      </w:r>
      <w:r w:rsidRPr="00636EFB">
        <w:rPr>
          <w:rFonts w:ascii="彩虹粗仿宋" w:eastAsia="彩虹粗仿宋" w:hAnsi="宋体" w:cs="Arial"/>
          <w:color w:val="000000" w:themeColor="text1"/>
          <w:kern w:val="0"/>
          <w:sz w:val="24"/>
          <w:szCs w:val="24"/>
        </w:rPr>
        <w:t>C</w:t>
      </w:r>
      <w:r w:rsidRPr="00636EFB">
        <w:rPr>
          <w:rFonts w:ascii="彩虹粗仿宋" w:eastAsia="彩虹粗仿宋" w:hAnsi="宋体" w:cs="Arial" w:hint="eastAsia"/>
          <w:color w:val="000000" w:themeColor="text1"/>
          <w:kern w:val="0"/>
          <w:sz w:val="24"/>
          <w:szCs w:val="24"/>
        </w:rPr>
        <w:t>类基金份额前一日的基金资产净值</w:t>
      </w:r>
    </w:p>
    <w:p w14:paraId="72CB0A7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四）基金的开户费用、账户维护费、基金的证券、期货、期权、信用衍生品交易费用、基金的银行汇划费用、《基金合同》生效后与基金相关的信息披露费用、基金份额持有人大会费用、《基金合同》生效后与基金相关的会计师费、律师费、诉讼费和仲裁费、因投资港股通标的股票而产生的各项合理费用等根据有关法律法规、《基金合同》及相应协议的规定，列入当期基金费用。</w:t>
      </w:r>
    </w:p>
    <w:p w14:paraId="725CEDB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（五）不列入基金费用的项目</w:t>
      </w:r>
    </w:p>
    <w:p w14:paraId="72185CC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1.基金管理人和基金托管人因未履行或未完全履行义务导致的费用支出或基金财产的损失；</w:t>
      </w:r>
    </w:p>
    <w:p w14:paraId="2BABE2E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2.基金管理人和基金托管人处理与基金运作无关的事项发生的费用；</w:t>
      </w:r>
    </w:p>
    <w:p w14:paraId="7C2DBDE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3.《基金合同》生效前的相关费用；</w:t>
      </w:r>
    </w:p>
    <w:p w14:paraId="01DBCB13"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4.其他根据相关法律法规及中国证监会的有关规定不得列入基金费用的项目。</w:t>
      </w:r>
    </w:p>
    <w:p w14:paraId="680A3E3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（六）基金管理费、基金托管费和基金销售服务费的调整</w:t>
      </w:r>
    </w:p>
    <w:p w14:paraId="6C00B0AC"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基金管理人和基金托管人协商一致并履行适当程序后，可按照基金发展情况，并根据法律法规规定和基金合同约定针对全部或部分份额类别调整基金管理费率、基金托管费率或基金销售服务费率等相关费率。</w:t>
      </w:r>
    </w:p>
    <w:p w14:paraId="7186A347"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（七）实施侧袋机制期间的基金费用</w:t>
      </w:r>
    </w:p>
    <w:p w14:paraId="5532D11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本基金实施侧袋机制的，与侧袋账户有关的费用可以从侧袋账户中列支，但应待侧袋账户资产变现后方可列支，有关费用可酌情收取或减免，但不得收取管理费，详见招募说明书的规定或相关公告。</w:t>
      </w:r>
    </w:p>
    <w:p w14:paraId="198CCB7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（八）基金管理费、基金托管费和基金销售服务费的复核程序、支付方式和时间</w:t>
      </w:r>
    </w:p>
    <w:p w14:paraId="4966086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1.复核程序</w:t>
      </w:r>
    </w:p>
    <w:p w14:paraId="6A5CC9B4" w14:textId="5C79621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基金托管人对基金管理人计提的基金管理费、基金托管费等，根据本托管协议和《基金合同》的有关规定进行复核。</w:t>
      </w:r>
    </w:p>
    <w:p w14:paraId="04B2F56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2.支付方式和时间</w:t>
      </w:r>
    </w:p>
    <w:p w14:paraId="607C4ECC" w14:textId="328B16DA"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基金管理费、基金托管费每日计提，按月支付。由基金托管人根据与基金管</w:t>
      </w:r>
      <w:r>
        <w:rPr>
          <w:rFonts w:ascii="彩虹粗仿宋" w:eastAsia="彩虹粗仿宋" w:hAnsi="宋体" w:cs="Arial" w:hint="eastAsia"/>
          <w:color w:val="000000" w:themeColor="text1"/>
          <w:kern w:val="0"/>
          <w:sz w:val="24"/>
          <w:szCs w:val="24"/>
        </w:rPr>
        <w:lastRenderedPageBreak/>
        <w:t>理人核对一致的财务数据，自动在次月首日起5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1BE7C9A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基金销售服务费每日计提。</w:t>
      </w:r>
    </w:p>
    <w:p w14:paraId="26306BA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（1）直销机构及其销售子公司：</w:t>
      </w:r>
    </w:p>
    <w:p w14:paraId="2A9DD668" w14:textId="1CF88A3B"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投资者通过直销机构及其销售子公司认购/申购C类基金份额的不收取销售服务费。对于通过直销机构及其销售子公司认购/申购该类基金份额的情况，将先行计提相应的销售服务费，待投资者赎回该笔基金份额或基金合同终止时，该费用将随赎回款（或清算款）一并返还给投资者。</w:t>
      </w:r>
    </w:p>
    <w:p w14:paraId="0437223C"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（2）其他销售机构：</w:t>
      </w:r>
    </w:p>
    <w:p w14:paraId="52291217" w14:textId="366FE63E"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对于投资者持续持有期限未超过一年（即365天，下同）的C类基金份额收取的销售服务费，逐日累计至每个月月末，按月支付，</w:t>
      </w:r>
      <w:r w:rsidR="001D5F73" w:rsidRPr="001D5F73">
        <w:rPr>
          <w:rFonts w:ascii="彩虹粗仿宋" w:eastAsia="彩虹粗仿宋" w:hAnsi="宋体" w:cs="Arial" w:hint="eastAsia"/>
          <w:color w:val="000000" w:themeColor="text1"/>
          <w:kern w:val="0"/>
          <w:sz w:val="24"/>
          <w:szCs w:val="24"/>
        </w:rPr>
        <w:t>由基金管理人向基金托管人发送基金销售服务费划款指令，基金托管人于次月首日起5个工作日内按照指定的账户路径从基金财产中一次性支付给基金管理人</w:t>
      </w:r>
      <w:r>
        <w:rPr>
          <w:rFonts w:ascii="彩虹粗仿宋" w:eastAsia="彩虹粗仿宋" w:hAnsi="宋体" w:cs="Arial" w:hint="eastAsia"/>
          <w:bCs/>
          <w:color w:val="000000" w:themeColor="text1"/>
          <w:kern w:val="0"/>
          <w:sz w:val="24"/>
          <w:szCs w:val="24"/>
        </w:rPr>
        <w:t>，并由基金管理人代付给各基金销售机构</w:t>
      </w:r>
      <w:r>
        <w:rPr>
          <w:rFonts w:ascii="彩虹粗仿宋" w:eastAsia="彩虹粗仿宋" w:hAnsi="宋体" w:cs="Arial" w:hint="eastAsia"/>
          <w:color w:val="000000" w:themeColor="text1"/>
          <w:kern w:val="0"/>
          <w:sz w:val="24"/>
          <w:szCs w:val="24"/>
        </w:rPr>
        <w:t>。若遇法定节假日、公休日或不可抗力致使无法按时支付等，支付日期顺延。费用扣划后，基金管理人应进行核对，如发现数据不符，及时联系基金托管人协商解决。</w:t>
      </w:r>
    </w:p>
    <w:p w14:paraId="0CA7E25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对于投资者持续持有期限超过一年的C类基金份额继续计提的销售服务费，在投资者赎回该笔基金份额或基金合同终止时，随赎回款（或清算款）一并返还给投资者。其中，持续持有期限为基金合同生效日（针对募集期内认购的基金份额）（含）或该笔基金份额申购确认日（含）至赎回确认日（不含）或基金最后运作日（含）间的天数。</w:t>
      </w:r>
    </w:p>
    <w:p w14:paraId="1FA2B8E3" w14:textId="77777777" w:rsidR="00690FB9" w:rsidRDefault="00690FB9" w:rsidP="00636EFB">
      <w:pPr>
        <w:adjustRightInd w:val="0"/>
        <w:snapToGrid w:val="0"/>
        <w:ind w:firstLineChars="200" w:firstLine="480"/>
        <w:rPr>
          <w:rFonts w:ascii="彩虹粗仿宋" w:eastAsia="彩虹粗仿宋" w:hAnsi="宋体" w:cs="Arial"/>
          <w:color w:val="000000" w:themeColor="text1"/>
          <w:kern w:val="0"/>
          <w:sz w:val="24"/>
          <w:szCs w:val="24"/>
        </w:rPr>
      </w:pPr>
      <w:r w:rsidRPr="00690FB9">
        <w:rPr>
          <w:rFonts w:ascii="彩虹粗仿宋" w:eastAsia="彩虹粗仿宋" w:hAnsi="宋体" w:cs="Arial" w:hint="eastAsia"/>
          <w:color w:val="000000" w:themeColor="text1"/>
          <w:kern w:val="0"/>
          <w:sz w:val="24"/>
          <w:szCs w:val="24"/>
        </w:rPr>
        <w:t>因涉及相关数据，应付销售服务费的计算和复核工作由基金管理人完成，相关信息以注册登记机构计算结果为准，基金托管人不承担复核责任。</w:t>
      </w:r>
    </w:p>
    <w:p w14:paraId="7080F4FC" w14:textId="3DF81AE3"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销售服务费计提后按规定收取或返还投资者的金额以登记机构的计算结果为准。</w:t>
      </w:r>
    </w:p>
    <w:p w14:paraId="1E436A0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在首期支付基金管理费、销售服务费前，基金管理人应向基金托管人出具正式函件指定基金管理费、销售服务费的收款账户。基金管理人如需要变更此账户，应提前5个工作日向基金托管人出具书面的收款账户变更通知。</w:t>
      </w:r>
    </w:p>
    <w:p w14:paraId="1B463E9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（九）违规处理方式</w:t>
      </w:r>
    </w:p>
    <w:p w14:paraId="70DD0B3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托管人发现基金管理人违反《基金法》、《基金合同》、《运作办法》及其他有关规定从基金财产中列支费用时，基金托管人可要求基金管理人予以说明解释，如基金管理人无正当理由，基金托管人可拒绝支付。</w:t>
      </w:r>
    </w:p>
    <w:p w14:paraId="6B041252" w14:textId="77777777" w:rsidR="00A818E6" w:rsidRDefault="00A818E6">
      <w:pPr>
        <w:adjustRightInd w:val="0"/>
        <w:snapToGrid w:val="0"/>
        <w:ind w:firstLineChars="200" w:firstLine="480"/>
        <w:rPr>
          <w:rFonts w:ascii="彩虹粗仿宋" w:eastAsia="彩虹粗仿宋" w:hAnsi="宋体" w:cs="Arial"/>
          <w:color w:val="000000" w:themeColor="text1"/>
          <w:kern w:val="0"/>
          <w:sz w:val="24"/>
          <w:szCs w:val="24"/>
        </w:rPr>
      </w:pPr>
    </w:p>
    <w:p w14:paraId="163FCFCC" w14:textId="77777777" w:rsidR="00A818E6" w:rsidRDefault="008434C4">
      <w:pPr>
        <w:pStyle w:val="2"/>
        <w:jc w:val="center"/>
        <w:rPr>
          <w:rFonts w:ascii="彩虹粗仿宋" w:eastAsia="彩虹粗仿宋"/>
          <w:color w:val="000000" w:themeColor="text1"/>
        </w:rPr>
      </w:pPr>
      <w:bookmarkStart w:id="91" w:name="_Toc124325896"/>
      <w:r>
        <w:rPr>
          <w:rFonts w:ascii="彩虹粗仿宋" w:eastAsia="彩虹粗仿宋" w:hint="eastAsia"/>
          <w:color w:val="000000" w:themeColor="text1"/>
        </w:rPr>
        <w:lastRenderedPageBreak/>
        <w:t>十二、基金份额持有人名册的保管</w:t>
      </w:r>
      <w:bookmarkEnd w:id="91"/>
    </w:p>
    <w:p w14:paraId="29139044" w14:textId="722C4B95"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基金份额持有人名册至少应包括基金份额持有人的名称和持有的基金份额。基金份额持有人名册由基金登记机构根据基金管理人的指令编制和保管，基金管理人和基金托管人应分别保管基金份额持有人名册，</w:t>
      </w:r>
      <w:r w:rsidR="00BC3C28" w:rsidRPr="00BC3C28">
        <w:rPr>
          <w:rFonts w:ascii="彩虹粗仿宋" w:eastAsia="彩虹粗仿宋" w:hAnsi="宋体" w:cs="Arial" w:hint="eastAsia"/>
          <w:color w:val="000000" w:themeColor="text1"/>
          <w:kern w:val="0"/>
          <w:sz w:val="24"/>
          <w:szCs w:val="24"/>
        </w:rPr>
        <w:t>保存期限按照法律法规的规定执行</w:t>
      </w:r>
      <w:r>
        <w:rPr>
          <w:rFonts w:ascii="彩虹粗仿宋" w:eastAsia="彩虹粗仿宋" w:hAnsi="宋体" w:cs="Arial" w:hint="eastAsia"/>
          <w:color w:val="000000" w:themeColor="text1"/>
          <w:kern w:val="0"/>
          <w:sz w:val="24"/>
          <w:szCs w:val="24"/>
        </w:rPr>
        <w:t>。如不能妥善保管，则按相关法律法规承担责任。</w:t>
      </w:r>
    </w:p>
    <w:p w14:paraId="6E923B4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在基金托管人要求或编制中期报告和年度报告前，基金管理人应将有关资料送交基金托管人，不得无故拒绝或延误提供，并保证其真实性、准确性和完整性。基金托管人不得将所保管的基金份额持有人名册用于基金托管业务以外的其他用途，并应遵守保密义务。</w:t>
      </w:r>
    </w:p>
    <w:p w14:paraId="7AF9AE18" w14:textId="77777777" w:rsidR="00A818E6" w:rsidRDefault="00A818E6">
      <w:pPr>
        <w:adjustRightInd w:val="0"/>
        <w:snapToGrid w:val="0"/>
        <w:ind w:firstLineChars="200" w:firstLine="480"/>
        <w:rPr>
          <w:rFonts w:ascii="彩虹粗仿宋" w:eastAsia="彩虹粗仿宋" w:hAnsi="宋体" w:cs="Arial"/>
          <w:color w:val="000000" w:themeColor="text1"/>
          <w:kern w:val="0"/>
          <w:sz w:val="24"/>
          <w:szCs w:val="24"/>
        </w:rPr>
      </w:pPr>
    </w:p>
    <w:p w14:paraId="5798C6AE" w14:textId="77777777" w:rsidR="00A818E6" w:rsidRDefault="008434C4">
      <w:pPr>
        <w:pStyle w:val="2"/>
        <w:jc w:val="center"/>
        <w:rPr>
          <w:rFonts w:ascii="彩虹粗仿宋" w:eastAsia="彩虹粗仿宋"/>
          <w:color w:val="000000" w:themeColor="text1"/>
        </w:rPr>
      </w:pPr>
      <w:bookmarkStart w:id="92" w:name="_Toc124325897"/>
      <w:r>
        <w:rPr>
          <w:rFonts w:ascii="彩虹粗仿宋" w:eastAsia="彩虹粗仿宋" w:hint="eastAsia"/>
          <w:color w:val="000000" w:themeColor="text1"/>
        </w:rPr>
        <w:t>十三、基金有关文件档案的保存</w:t>
      </w:r>
      <w:bookmarkEnd w:id="92"/>
    </w:p>
    <w:p w14:paraId="1B0AD3B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（一）档案保存</w:t>
      </w:r>
    </w:p>
    <w:p w14:paraId="25435B66" w14:textId="77777777" w:rsidR="00A01E2A"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基金管理人应保存基金财产管理业务活动的记录、账册、报表和其他相关资料。基金托管人应保存基金托管业务活动的记录、账册、报表和其他相关资料。基金管理人和基金托管人都应当按</w:t>
      </w:r>
      <w:r w:rsidR="00BC3C28">
        <w:rPr>
          <w:rFonts w:ascii="彩虹粗仿宋" w:eastAsia="彩虹粗仿宋" w:hAnsi="宋体" w:cs="Arial" w:hint="eastAsia"/>
          <w:color w:val="000000" w:themeColor="text1"/>
          <w:kern w:val="0"/>
          <w:sz w:val="24"/>
          <w:szCs w:val="24"/>
        </w:rPr>
        <w:t>法律法规</w:t>
      </w:r>
      <w:r>
        <w:rPr>
          <w:rFonts w:ascii="彩虹粗仿宋" w:eastAsia="彩虹粗仿宋" w:hAnsi="宋体" w:cs="Arial" w:hint="eastAsia"/>
          <w:color w:val="000000" w:themeColor="text1"/>
          <w:kern w:val="0"/>
          <w:sz w:val="24"/>
          <w:szCs w:val="24"/>
        </w:rPr>
        <w:t>规定的期限保管。</w:t>
      </w:r>
    </w:p>
    <w:p w14:paraId="0DD199CD" w14:textId="7EC72113"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（二）合同档案的建立</w:t>
      </w:r>
    </w:p>
    <w:p w14:paraId="3D05F6FC"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1.基金管理人签署重大合同文本后，应及时将合同文本正本送达基金托管人处。</w:t>
      </w:r>
    </w:p>
    <w:p w14:paraId="28E0ED27"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2.基金管理人应及时将与本基金账务处理、资金划拨等有关的合同、协议传真基金托管人。</w:t>
      </w:r>
    </w:p>
    <w:p w14:paraId="57F6AF3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（三）变更与协助</w:t>
      </w:r>
    </w:p>
    <w:p w14:paraId="2DAC6D6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若基金管理人/基金托管人发生变更，未变更的一方有义务协助变更后的接任人接收相应文件。</w:t>
      </w:r>
    </w:p>
    <w:p w14:paraId="7FA68769" w14:textId="7842AA2B" w:rsidR="00A818E6" w:rsidRDefault="00A818E6">
      <w:pPr>
        <w:adjustRightInd w:val="0"/>
        <w:snapToGrid w:val="0"/>
        <w:ind w:firstLineChars="200" w:firstLine="480"/>
        <w:rPr>
          <w:rFonts w:ascii="彩虹粗仿宋" w:eastAsia="彩虹粗仿宋" w:hAnsi="宋体" w:cs="Arial"/>
          <w:color w:val="000000" w:themeColor="text1"/>
          <w:kern w:val="0"/>
          <w:sz w:val="24"/>
          <w:szCs w:val="24"/>
        </w:rPr>
      </w:pPr>
    </w:p>
    <w:p w14:paraId="32A5BB6F" w14:textId="77777777" w:rsidR="00A818E6" w:rsidRDefault="008434C4">
      <w:pPr>
        <w:pStyle w:val="2"/>
        <w:jc w:val="center"/>
        <w:rPr>
          <w:rFonts w:ascii="彩虹粗仿宋" w:eastAsia="彩虹粗仿宋"/>
          <w:color w:val="000000" w:themeColor="text1"/>
        </w:rPr>
      </w:pPr>
      <w:bookmarkStart w:id="93" w:name="_Toc124325898"/>
      <w:r>
        <w:rPr>
          <w:rFonts w:ascii="彩虹粗仿宋" w:eastAsia="彩虹粗仿宋" w:hint="eastAsia"/>
          <w:color w:val="000000" w:themeColor="text1"/>
        </w:rPr>
        <w:t>十四、基金管理人和基金托管人的更换</w:t>
      </w:r>
      <w:bookmarkEnd w:id="93"/>
    </w:p>
    <w:p w14:paraId="1B14679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（一）基金管理人职责终止的情形</w:t>
      </w:r>
    </w:p>
    <w:p w14:paraId="78D6022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1.基金管理人职责终止的情形</w:t>
      </w:r>
    </w:p>
    <w:p w14:paraId="451CD81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有下列情形之一的，基金管理人职责终止：</w:t>
      </w:r>
    </w:p>
    <w:p w14:paraId="7E9B19C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(1)</w:t>
      </w:r>
      <w:r>
        <w:rPr>
          <w:rFonts w:ascii="彩虹粗仿宋" w:eastAsia="彩虹粗仿宋" w:hAnsi="宋体" w:cs="Arial" w:hint="eastAsia"/>
          <w:color w:val="000000" w:themeColor="text1"/>
          <w:kern w:val="0"/>
          <w:sz w:val="24"/>
          <w:szCs w:val="24"/>
        </w:rPr>
        <w:t>被依法取消基金管理资格；</w:t>
      </w:r>
    </w:p>
    <w:p w14:paraId="1F38302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(2)</w:t>
      </w:r>
      <w:r>
        <w:rPr>
          <w:rFonts w:ascii="彩虹粗仿宋" w:eastAsia="彩虹粗仿宋" w:hAnsi="宋体" w:cs="Arial" w:hint="eastAsia"/>
          <w:color w:val="000000" w:themeColor="text1"/>
          <w:kern w:val="0"/>
          <w:sz w:val="24"/>
          <w:szCs w:val="24"/>
        </w:rPr>
        <w:t>被基金份额持有人大会解任；</w:t>
      </w:r>
    </w:p>
    <w:p w14:paraId="499BE14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(3)</w:t>
      </w:r>
      <w:r>
        <w:rPr>
          <w:rFonts w:ascii="彩虹粗仿宋" w:eastAsia="彩虹粗仿宋" w:hAnsi="宋体" w:cs="Arial" w:hint="eastAsia"/>
          <w:color w:val="000000" w:themeColor="text1"/>
          <w:kern w:val="0"/>
          <w:sz w:val="24"/>
          <w:szCs w:val="24"/>
        </w:rPr>
        <w:t>依法解散、被依法撤销或被依法宣告破产；</w:t>
      </w:r>
    </w:p>
    <w:p w14:paraId="7C1DE82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lastRenderedPageBreak/>
        <w:t>(4)</w:t>
      </w:r>
      <w:r>
        <w:rPr>
          <w:rFonts w:ascii="彩虹粗仿宋" w:eastAsia="彩虹粗仿宋" w:hAnsi="宋体" w:cs="Arial" w:hint="eastAsia"/>
          <w:color w:val="000000" w:themeColor="text1"/>
          <w:kern w:val="0"/>
          <w:sz w:val="24"/>
          <w:szCs w:val="24"/>
        </w:rPr>
        <w:t>法律法规及中国证监会规定的和《基金合同》约定的其他情形。</w:t>
      </w:r>
    </w:p>
    <w:p w14:paraId="225F58E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2.基金管理人的更换程序</w:t>
      </w:r>
    </w:p>
    <w:p w14:paraId="3EE2C68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更换基金管理人必须依照如下程序进行：</w:t>
      </w:r>
    </w:p>
    <w:p w14:paraId="1CE6E164" w14:textId="58A75BF4"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(1)</w:t>
      </w:r>
      <w:r>
        <w:rPr>
          <w:rFonts w:ascii="彩虹粗仿宋" w:eastAsia="彩虹粗仿宋" w:hAnsi="宋体" w:cs="Arial" w:hint="eastAsia"/>
          <w:color w:val="000000" w:themeColor="text1"/>
          <w:kern w:val="0"/>
          <w:sz w:val="24"/>
          <w:szCs w:val="24"/>
        </w:rPr>
        <w:t>提名：新任基金管理人由基金托管人或由单独或合计持有基金总份额10%以上（含10%）基金份额的基金份额持有人提名；</w:t>
      </w:r>
    </w:p>
    <w:p w14:paraId="60618395" w14:textId="5A559F89"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(2)</w:t>
      </w:r>
      <w:r>
        <w:rPr>
          <w:rFonts w:ascii="彩虹粗仿宋" w:eastAsia="彩虹粗仿宋" w:hAnsi="宋体" w:cs="Arial" w:hint="eastAsia"/>
          <w:color w:val="000000" w:themeColor="text1"/>
          <w:kern w:val="0"/>
          <w:sz w:val="24"/>
          <w:szCs w:val="24"/>
        </w:rPr>
        <w:t>决议：基金份额持有人大会在基金管理人职责终止后6个月内对被提名的基金管理人形成决议，该决议需经参加大会的基金份额持有人所持表决权的三分之二以上（含三分之二）表决通过，决议自表决通过之日起生效；新任基金管理人应当符合法律法规及中国证监会规定的资格条件；</w:t>
      </w:r>
    </w:p>
    <w:p w14:paraId="1801C532" w14:textId="21D635B2"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(3)</w:t>
      </w:r>
      <w:r>
        <w:rPr>
          <w:rFonts w:ascii="彩虹粗仿宋" w:eastAsia="彩虹粗仿宋" w:hAnsi="宋体" w:cs="Arial" w:hint="eastAsia"/>
          <w:color w:val="000000" w:themeColor="text1"/>
          <w:kern w:val="0"/>
          <w:sz w:val="24"/>
          <w:szCs w:val="24"/>
        </w:rPr>
        <w:t>临时基金管理人：新任基金管理人产生之前，由中国证监会指定临时基金管理人；</w:t>
      </w:r>
    </w:p>
    <w:p w14:paraId="16F6CF61" w14:textId="31D6A8DC"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(4)</w:t>
      </w:r>
      <w:r>
        <w:rPr>
          <w:rFonts w:ascii="彩虹粗仿宋" w:eastAsia="彩虹粗仿宋" w:hAnsi="宋体" w:cs="Arial" w:hint="eastAsia"/>
          <w:color w:val="000000" w:themeColor="text1"/>
          <w:kern w:val="0"/>
          <w:sz w:val="24"/>
          <w:szCs w:val="24"/>
        </w:rPr>
        <w:t>备案：基金份额持有人大会更换基金管理人的决议须报中国证监会备案；</w:t>
      </w:r>
    </w:p>
    <w:p w14:paraId="157E8944" w14:textId="51A2C630"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(5)</w:t>
      </w:r>
      <w:r>
        <w:rPr>
          <w:rFonts w:ascii="彩虹粗仿宋" w:eastAsia="彩虹粗仿宋" w:hAnsi="宋体" w:cs="Arial" w:hint="eastAsia"/>
          <w:color w:val="000000" w:themeColor="text1"/>
          <w:kern w:val="0"/>
          <w:sz w:val="24"/>
          <w:szCs w:val="24"/>
        </w:rPr>
        <w:t>公告：基金管理人更换后，由基金托管人在更换基金管理人的基金份额持有人大会决议生效后2日内在规定媒介公告；</w:t>
      </w:r>
    </w:p>
    <w:p w14:paraId="3264C50E" w14:textId="6C9A0018"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(6)</w:t>
      </w:r>
      <w:r>
        <w:rPr>
          <w:rFonts w:ascii="彩虹粗仿宋" w:eastAsia="彩虹粗仿宋" w:hAnsi="宋体" w:cs="Arial" w:hint="eastAsia"/>
          <w:color w:val="000000" w:themeColor="text1"/>
          <w:kern w:val="0"/>
          <w:sz w:val="24"/>
          <w:szCs w:val="24"/>
        </w:rPr>
        <w:t>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和净值；</w:t>
      </w:r>
    </w:p>
    <w:p w14:paraId="5EE86B46" w14:textId="6B027EB2"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(7)</w:t>
      </w:r>
      <w:r>
        <w:rPr>
          <w:rFonts w:ascii="彩虹粗仿宋" w:eastAsia="彩虹粗仿宋" w:hAnsi="宋体" w:cs="Arial" w:hint="eastAsia"/>
          <w:color w:val="000000" w:themeColor="text1"/>
          <w:kern w:val="0"/>
          <w:sz w:val="24"/>
          <w:szCs w:val="24"/>
        </w:rPr>
        <w:t>审计：基金管理人职责终止的，应当按照法律法规规定聘请符合《中华人民共和国证券法》规定的会计师事务所对基金财产进行审计，并将审计结果予以公告，同时报中国证监会备案，审计费用在基金财产中列支；</w:t>
      </w:r>
    </w:p>
    <w:p w14:paraId="15683752" w14:textId="3596F463"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(8)</w:t>
      </w:r>
      <w:r>
        <w:rPr>
          <w:rFonts w:ascii="彩虹粗仿宋" w:eastAsia="彩虹粗仿宋" w:hAnsi="宋体" w:cs="Arial" w:hint="eastAsia"/>
          <w:color w:val="000000" w:themeColor="text1"/>
          <w:kern w:val="0"/>
          <w:sz w:val="24"/>
          <w:szCs w:val="24"/>
        </w:rPr>
        <w:t>基金名称变更：基金管理人更换后，如果原任或新任基金管理人要求，应按其要求替换或删除基金名称中与原基金管理人有关的名称字样。</w:t>
      </w:r>
    </w:p>
    <w:p w14:paraId="5A1F04ED"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（二）基金托管人职责终止的情形</w:t>
      </w:r>
    </w:p>
    <w:p w14:paraId="730CE48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1.基金托管人职责终止的情形</w:t>
      </w:r>
    </w:p>
    <w:p w14:paraId="50A795C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有下列情形之一的，基金托管人职责终止：</w:t>
      </w:r>
    </w:p>
    <w:p w14:paraId="482A275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(1)</w:t>
      </w:r>
      <w:r>
        <w:rPr>
          <w:rFonts w:ascii="彩虹粗仿宋" w:eastAsia="彩虹粗仿宋" w:hAnsi="宋体" w:cs="Arial" w:hint="eastAsia"/>
          <w:color w:val="000000" w:themeColor="text1"/>
          <w:kern w:val="0"/>
          <w:sz w:val="24"/>
          <w:szCs w:val="24"/>
        </w:rPr>
        <w:t>被依法取消基金托管资格；</w:t>
      </w:r>
    </w:p>
    <w:p w14:paraId="1434475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(2)</w:t>
      </w:r>
      <w:r>
        <w:rPr>
          <w:rFonts w:ascii="彩虹粗仿宋" w:eastAsia="彩虹粗仿宋" w:hAnsi="宋体" w:cs="Arial" w:hint="eastAsia"/>
          <w:color w:val="000000" w:themeColor="text1"/>
          <w:kern w:val="0"/>
          <w:sz w:val="24"/>
          <w:szCs w:val="24"/>
        </w:rPr>
        <w:t>被基金份额持有人大会解任；</w:t>
      </w:r>
    </w:p>
    <w:p w14:paraId="34A0BAEE"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(3)</w:t>
      </w:r>
      <w:r>
        <w:rPr>
          <w:rFonts w:ascii="彩虹粗仿宋" w:eastAsia="彩虹粗仿宋" w:hAnsi="宋体" w:cs="Arial" w:hint="eastAsia"/>
          <w:color w:val="000000" w:themeColor="text1"/>
          <w:kern w:val="0"/>
          <w:sz w:val="24"/>
          <w:szCs w:val="24"/>
        </w:rPr>
        <w:t>依法解散、被依法撤销或被依法宣告破产；</w:t>
      </w:r>
    </w:p>
    <w:p w14:paraId="1530016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(4)</w:t>
      </w:r>
      <w:r>
        <w:rPr>
          <w:rFonts w:ascii="彩虹粗仿宋" w:eastAsia="彩虹粗仿宋" w:hAnsi="宋体" w:cs="Arial" w:hint="eastAsia"/>
          <w:color w:val="000000" w:themeColor="text1"/>
          <w:kern w:val="0"/>
          <w:sz w:val="24"/>
          <w:szCs w:val="24"/>
        </w:rPr>
        <w:t>法律法规及中国证监会规定的和《基金合同》约定的其他情形。</w:t>
      </w:r>
    </w:p>
    <w:p w14:paraId="6DB25DB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2.基金托管人的更换程序</w:t>
      </w:r>
    </w:p>
    <w:p w14:paraId="6EC280D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(1)</w:t>
      </w:r>
      <w:r>
        <w:rPr>
          <w:rFonts w:ascii="彩虹粗仿宋" w:eastAsia="彩虹粗仿宋" w:hAnsi="宋体" w:cs="Arial" w:hint="eastAsia"/>
          <w:color w:val="000000" w:themeColor="text1"/>
          <w:kern w:val="0"/>
          <w:sz w:val="24"/>
          <w:szCs w:val="24"/>
        </w:rPr>
        <w:t>提名：新任基金托管人由基金管理人或由单独或合计持有基金总份额10%以上（含10%）基金份额的基金份额持有人提名；</w:t>
      </w:r>
    </w:p>
    <w:p w14:paraId="36D56AA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(2)</w:t>
      </w:r>
      <w:r>
        <w:rPr>
          <w:rFonts w:ascii="彩虹粗仿宋" w:eastAsia="彩虹粗仿宋" w:hAnsi="宋体" w:cs="Arial" w:hint="eastAsia"/>
          <w:color w:val="000000" w:themeColor="text1"/>
          <w:kern w:val="0"/>
          <w:sz w:val="24"/>
          <w:szCs w:val="24"/>
        </w:rPr>
        <w:t>决议：基金份额持有人大会在基金托管人职责终止后6个月内对被提名的基金托管人形成决议，该决议需经参加大会的基金份额持有人所持表决权的三分</w:t>
      </w:r>
      <w:r>
        <w:rPr>
          <w:rFonts w:ascii="彩虹粗仿宋" w:eastAsia="彩虹粗仿宋" w:hAnsi="宋体" w:cs="Arial" w:hint="eastAsia"/>
          <w:color w:val="000000" w:themeColor="text1"/>
          <w:kern w:val="0"/>
          <w:sz w:val="24"/>
          <w:szCs w:val="24"/>
        </w:rPr>
        <w:lastRenderedPageBreak/>
        <w:t>之二以上（含三分之二）表决通过，决议自表决通过之日起生效；新任基金托管人应当符合法律法规及中国证监会规定的资格条件；</w:t>
      </w:r>
    </w:p>
    <w:p w14:paraId="346A866E"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(3)</w:t>
      </w:r>
      <w:r>
        <w:rPr>
          <w:rFonts w:ascii="彩虹粗仿宋" w:eastAsia="彩虹粗仿宋" w:hAnsi="宋体" w:cs="Arial" w:hint="eastAsia"/>
          <w:color w:val="000000" w:themeColor="text1"/>
          <w:kern w:val="0"/>
          <w:sz w:val="24"/>
          <w:szCs w:val="24"/>
        </w:rPr>
        <w:t>临时基金托管人：新任基金托管人产生之前，由中国证监会指定临时基金托管人；</w:t>
      </w:r>
    </w:p>
    <w:p w14:paraId="75B3EF0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(4)</w:t>
      </w:r>
      <w:r>
        <w:rPr>
          <w:rFonts w:ascii="彩虹粗仿宋" w:eastAsia="彩虹粗仿宋" w:hAnsi="宋体" w:cs="Arial" w:hint="eastAsia"/>
          <w:color w:val="000000" w:themeColor="text1"/>
          <w:kern w:val="0"/>
          <w:sz w:val="24"/>
          <w:szCs w:val="24"/>
        </w:rPr>
        <w:t>备案：基金份额持有人大会更换基金托管人的决议须报中国证监会备案；</w:t>
      </w:r>
    </w:p>
    <w:p w14:paraId="12E664F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(5)</w:t>
      </w:r>
      <w:r>
        <w:rPr>
          <w:rFonts w:ascii="彩虹粗仿宋" w:eastAsia="彩虹粗仿宋" w:hAnsi="宋体" w:cs="Arial" w:hint="eastAsia"/>
          <w:color w:val="000000" w:themeColor="text1"/>
          <w:kern w:val="0"/>
          <w:sz w:val="24"/>
          <w:szCs w:val="24"/>
        </w:rPr>
        <w:t>公告：基金托管人更换后，由基金管理人在更换基金托管人的基金份额持有人大会决议生效后2日内在规定媒介公告；</w:t>
      </w:r>
    </w:p>
    <w:p w14:paraId="2BBC4E3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(6)</w:t>
      </w:r>
      <w:r>
        <w:rPr>
          <w:rFonts w:ascii="彩虹粗仿宋" w:eastAsia="彩虹粗仿宋" w:hAnsi="宋体" w:cs="Arial" w:hint="eastAsia"/>
          <w:color w:val="000000" w:themeColor="text1"/>
          <w:kern w:val="0"/>
          <w:sz w:val="24"/>
          <w:szCs w:val="24"/>
        </w:rPr>
        <w:t>交接：基金托管人职责终止的，应当妥善保管基金财产和基金托管业务资料，及时办理基金财产和基金托管业务的移交手续，新任基金托管人或者临时基金托管人应当及时接收。新任基金托管人或者临时基金托管人应与基金管理人核对基金资产总值和净值；</w:t>
      </w:r>
    </w:p>
    <w:p w14:paraId="72108E4E"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(7)</w:t>
      </w:r>
      <w:r>
        <w:rPr>
          <w:rFonts w:ascii="彩虹粗仿宋" w:eastAsia="彩虹粗仿宋" w:hAnsi="宋体" w:cs="Arial" w:hint="eastAsia"/>
          <w:color w:val="000000" w:themeColor="text1"/>
          <w:kern w:val="0"/>
          <w:sz w:val="24"/>
          <w:szCs w:val="24"/>
        </w:rPr>
        <w:t>审计：基金托管人职责终止的，应当按照法律法规规定聘请符合《中华人民共和国证券法》规定的会计师事务所对基金财产进行审计，并将审计结果予以公告，同时报中国证监会备案，审计费用在基金财产中列支。</w:t>
      </w:r>
    </w:p>
    <w:p w14:paraId="003044B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（三）基金管理人与基金托管人同时更换的条件和程序</w:t>
      </w:r>
    </w:p>
    <w:p w14:paraId="56C9F0F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1．提名：如果基金管理人和基金托管人同时更换，由单独或合计持有基金总份额10%以上（含10%）的基金份额持有人提名新的基金管理人和基金托管人；</w:t>
      </w:r>
    </w:p>
    <w:p w14:paraId="1C2EC3B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2．基金管理人和基金托管人的更换分别按上述程序进行；</w:t>
      </w:r>
    </w:p>
    <w:p w14:paraId="49175FB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3．公告：新任基金管理人和新任基金托管人应在更换基金管理人和基金托管人的基金份额持有人大会决议生效后2日内在规定媒介上联合公告。</w:t>
      </w:r>
    </w:p>
    <w:p w14:paraId="20BF71E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四）新任基金管理人或临时基金管理人接收基金管理业务，或新任基金托管人或临时基金托管人接收基金财产和基金托管业务前，原基金管理人或原基金托管人应继续履行相关职责，并保证不做出对基金份额持有人的利益造成损害的行为。原基金管理人或原基金托管人在继续履行相关职责期间，仍有权按照基金合同的规定收取基金管理费或基金托管费。</w:t>
      </w:r>
    </w:p>
    <w:p w14:paraId="6B80976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五）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3F3C71DA" w14:textId="77777777" w:rsidR="00A818E6" w:rsidRDefault="00A818E6">
      <w:pPr>
        <w:adjustRightInd w:val="0"/>
        <w:snapToGrid w:val="0"/>
        <w:ind w:firstLineChars="200" w:firstLine="480"/>
        <w:rPr>
          <w:rFonts w:ascii="彩虹粗仿宋" w:eastAsia="彩虹粗仿宋" w:hAnsi="宋体" w:cs="Arial"/>
          <w:color w:val="000000" w:themeColor="text1"/>
          <w:kern w:val="0"/>
          <w:sz w:val="24"/>
          <w:szCs w:val="24"/>
        </w:rPr>
      </w:pPr>
    </w:p>
    <w:p w14:paraId="0CE89DBA" w14:textId="77777777" w:rsidR="00A818E6" w:rsidRDefault="008434C4">
      <w:pPr>
        <w:pStyle w:val="2"/>
        <w:jc w:val="center"/>
        <w:rPr>
          <w:rFonts w:ascii="彩虹粗仿宋" w:eastAsia="彩虹粗仿宋"/>
          <w:color w:val="000000" w:themeColor="text1"/>
        </w:rPr>
      </w:pPr>
      <w:bookmarkStart w:id="94" w:name="_Toc124325899"/>
      <w:r>
        <w:rPr>
          <w:rFonts w:ascii="彩虹粗仿宋" w:eastAsia="彩虹粗仿宋" w:hint="eastAsia"/>
          <w:color w:val="000000" w:themeColor="text1"/>
        </w:rPr>
        <w:t>十五、禁止行为</w:t>
      </w:r>
      <w:bookmarkEnd w:id="94"/>
    </w:p>
    <w:p w14:paraId="52F7A0C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本协议当事人禁止从事的行为，包括但不限于：</w:t>
      </w:r>
    </w:p>
    <w:p w14:paraId="00DF61E3"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（一）基金管理人、基金托管人将其固有财产或者他人财产混同于基金财产</w:t>
      </w:r>
      <w:r>
        <w:rPr>
          <w:rFonts w:ascii="彩虹粗仿宋" w:eastAsia="彩虹粗仿宋" w:hAnsi="宋体" w:cs="Arial" w:hint="eastAsia"/>
          <w:color w:val="000000" w:themeColor="text1"/>
          <w:kern w:val="0"/>
          <w:sz w:val="24"/>
          <w:szCs w:val="24"/>
        </w:rPr>
        <w:lastRenderedPageBreak/>
        <w:t>从事证券投资。</w:t>
      </w:r>
    </w:p>
    <w:p w14:paraId="14BAFD6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（二）基金管理人不公平地对待其管理的不同基金财产，基金托管人不公平地对待其托管的不同基金财产。</w:t>
      </w:r>
    </w:p>
    <w:p w14:paraId="6498649C"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（三）基金管理人、基金托管人利用基金财产或职务之便为基金份额持有人以外的第三人牟取利益。</w:t>
      </w:r>
    </w:p>
    <w:p w14:paraId="4558943E"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（四）基金管理人、基金托管人向基金份额持有人违规承诺收益或者承担损失。</w:t>
      </w:r>
    </w:p>
    <w:p w14:paraId="723BEF5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（五）基金管理人、基金托管人对他人泄露基金运作和管理过程中任何尚未按法律法规规定的方式公开披露的信息。</w:t>
      </w:r>
    </w:p>
    <w:p w14:paraId="00595D6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（六）基金管理人在没有充足资金的情况下向基金托管人发出投资指令和赎回、分红资金的划拨指令，或违规向基金托管人发出指令。</w:t>
      </w:r>
    </w:p>
    <w:p w14:paraId="7F621ECC"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（七）基金管理人、基金托管人在行政上、财务上不独立, 其高级管理人员和其他从业人员相互兼职。</w:t>
      </w:r>
    </w:p>
    <w:p w14:paraId="7244702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（八）基金托管人私自动用或处分基金财产，根据基金管理人的合法指令、《基金合同》或托管协议的规定进行处分的除外。</w:t>
      </w:r>
    </w:p>
    <w:p w14:paraId="468F233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（九）基金管理人、基金托管人侵占、挪用基金财产。</w:t>
      </w:r>
    </w:p>
    <w:p w14:paraId="7C46E4D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（十）基金管理人、基金托管人泄露因职务便利获取的未公开信息、利用该信息从事或者明示、暗示他人从事相关的交易活动。</w:t>
      </w:r>
    </w:p>
    <w:p w14:paraId="46C639F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（十一）基金管理人、基金托管人玩忽职守，不按照规定履行职责。</w:t>
      </w:r>
    </w:p>
    <w:p w14:paraId="3DA9959D"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（十二）基金财产用于下列投资或者活动：</w:t>
      </w:r>
    </w:p>
    <w:p w14:paraId="2DDD715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1.承销证券；</w:t>
      </w:r>
    </w:p>
    <w:p w14:paraId="2350FCA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2.违反规定向他人贷款或者提供担保；</w:t>
      </w:r>
    </w:p>
    <w:p w14:paraId="74F87BE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3.从事承担无限责任的投资；</w:t>
      </w:r>
    </w:p>
    <w:p w14:paraId="7BB68829"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4</w:t>
      </w:r>
      <w:r>
        <w:rPr>
          <w:rFonts w:ascii="彩虹粗仿宋" w:eastAsia="彩虹粗仿宋" w:hAnsi="宋体" w:cs="Arial" w:hint="eastAsia"/>
          <w:color w:val="000000" w:themeColor="text1"/>
          <w:kern w:val="0"/>
          <w:sz w:val="24"/>
          <w:szCs w:val="24"/>
        </w:rPr>
        <w:t>.向其基金管理人、基金托管人出资；</w:t>
      </w:r>
    </w:p>
    <w:p w14:paraId="24928A1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5</w:t>
      </w:r>
      <w:r>
        <w:rPr>
          <w:rFonts w:ascii="彩虹粗仿宋" w:eastAsia="彩虹粗仿宋" w:hAnsi="宋体" w:cs="Arial" w:hint="eastAsia"/>
          <w:color w:val="000000" w:themeColor="text1"/>
          <w:kern w:val="0"/>
          <w:sz w:val="24"/>
          <w:szCs w:val="24"/>
        </w:rPr>
        <w:t>.从事内幕交易、操纵证券交易价格及其他不正当的证券交易活动；</w:t>
      </w:r>
    </w:p>
    <w:p w14:paraId="24C8CF0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color w:val="000000" w:themeColor="text1"/>
          <w:kern w:val="0"/>
          <w:sz w:val="24"/>
          <w:szCs w:val="24"/>
        </w:rPr>
        <w:t>6</w:t>
      </w:r>
      <w:r>
        <w:rPr>
          <w:rFonts w:ascii="彩虹粗仿宋" w:eastAsia="彩虹粗仿宋" w:hAnsi="宋体" w:cs="Arial" w:hint="eastAsia"/>
          <w:color w:val="000000" w:themeColor="text1"/>
          <w:kern w:val="0"/>
          <w:sz w:val="24"/>
          <w:szCs w:val="24"/>
        </w:rPr>
        <w:t>.法律、行政法规和中国证监会规定禁止的其他活动。</w:t>
      </w:r>
    </w:p>
    <w:p w14:paraId="46BA1EB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法律、行政法规或监管部门取消或变更上述限制，如适用于本基金，基金管理人在履行适当程序后，则本基金投资不再受相关限制或以变更后的规定为准。</w:t>
      </w:r>
    </w:p>
    <w:p w14:paraId="6D3A66DE"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（十三）法律法规和《基金合同》禁止的其他行为，以及依照法律、行政法规有关规定，由中国证监会规定禁止基金管理人、基金托管人从事的其他行为。</w:t>
      </w:r>
    </w:p>
    <w:p w14:paraId="7489388C" w14:textId="77777777" w:rsidR="00A818E6" w:rsidRDefault="00A818E6">
      <w:pPr>
        <w:adjustRightInd w:val="0"/>
        <w:snapToGrid w:val="0"/>
        <w:ind w:firstLineChars="200" w:firstLine="480"/>
        <w:rPr>
          <w:rFonts w:ascii="彩虹粗仿宋" w:eastAsia="彩虹粗仿宋" w:hAnsi="宋体" w:cs="Arial"/>
          <w:color w:val="000000" w:themeColor="text1"/>
          <w:kern w:val="0"/>
          <w:sz w:val="24"/>
          <w:szCs w:val="24"/>
        </w:rPr>
      </w:pPr>
    </w:p>
    <w:p w14:paraId="4F4B5443" w14:textId="77777777" w:rsidR="00A818E6" w:rsidRDefault="008434C4">
      <w:pPr>
        <w:pStyle w:val="2"/>
        <w:jc w:val="center"/>
        <w:rPr>
          <w:rFonts w:ascii="彩虹粗仿宋" w:eastAsia="彩虹粗仿宋"/>
          <w:color w:val="000000" w:themeColor="text1"/>
        </w:rPr>
      </w:pPr>
      <w:bookmarkStart w:id="95" w:name="_Toc124325900"/>
      <w:r>
        <w:rPr>
          <w:rFonts w:ascii="彩虹粗仿宋" w:eastAsia="彩虹粗仿宋" w:hint="eastAsia"/>
          <w:color w:val="000000" w:themeColor="text1"/>
        </w:rPr>
        <w:t>十六、托管协议的变更、终止与基金财产的清算</w:t>
      </w:r>
      <w:bookmarkEnd w:id="95"/>
    </w:p>
    <w:p w14:paraId="17EC5C7E"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（一）托管协议的变更程序</w:t>
      </w:r>
    </w:p>
    <w:p w14:paraId="61A5128E"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本协议双方当事人经协商一致，可以对协议进行修改。修改后的新协议，其内容不得与《基金合同》的规定有任何冲突。基金托管协议的变更须根据法律法规或监管机构要求报中国证监会备案。</w:t>
      </w:r>
    </w:p>
    <w:p w14:paraId="14C5C80D"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（二）托管协议终止的情形</w:t>
      </w:r>
    </w:p>
    <w:p w14:paraId="029854D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1.《基金合同》终止；</w:t>
      </w:r>
    </w:p>
    <w:p w14:paraId="28FCA0B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2.基金托管人解散、依法被撤销、破产或由其他基金托管人接管基金资产；</w:t>
      </w:r>
    </w:p>
    <w:p w14:paraId="7EAD6A2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3.基金管理人解散、依法被撤销、破产或由其他基金管理人接管基金管理权；</w:t>
      </w:r>
    </w:p>
    <w:p w14:paraId="5DCF93A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4.发生法律法规、中国证监会或《基金合同》规定的终止事项。</w:t>
      </w:r>
    </w:p>
    <w:p w14:paraId="7F60037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（三）基金财产的清算</w:t>
      </w:r>
    </w:p>
    <w:p w14:paraId="21720D5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1.基金财产清算小组：自出现《基金合同》终止事由之日起30个工作日内成立基金财产清算小组，基金管理人组织基金财产清算小组并在中国证监会的监督下进行基金清算。</w:t>
      </w:r>
    </w:p>
    <w:p w14:paraId="2F76176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606B78C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3.基金财产清算小组职责：基金财产清算小组负责基金财产的保管、清理、估价、变现和分配。基金财产清算小组可以依法进行必要的民事活动。</w:t>
      </w:r>
    </w:p>
    <w:p w14:paraId="1604EE91"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4.基金财产清算程序：</w:t>
      </w:r>
    </w:p>
    <w:p w14:paraId="5640F1B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（1）《基金合同》终止情形出现时，由基金财产清算小组统一接管基金；</w:t>
      </w:r>
    </w:p>
    <w:p w14:paraId="1485C66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（2）对基金财产和债权债务进行清理和确认；</w:t>
      </w:r>
    </w:p>
    <w:p w14:paraId="6B1A58B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（3）对基金财产进行估值和变现；</w:t>
      </w:r>
    </w:p>
    <w:p w14:paraId="6CC9DD0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（4）制作清算报告；</w:t>
      </w:r>
    </w:p>
    <w:p w14:paraId="17328967"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（5）聘请会计师事务所对清算报告进行外部审计，聘请律师事务所对清算报告出具法律意见书；</w:t>
      </w:r>
    </w:p>
    <w:p w14:paraId="08CDFF2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（6）将基金财产清算报告报中国证监会备案并公告；</w:t>
      </w:r>
    </w:p>
    <w:p w14:paraId="61C125C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（7）对基金剩余财产进行分配。</w:t>
      </w:r>
    </w:p>
    <w:p w14:paraId="49D2EAC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5.基金财产清算的期限为6个月，但因本基金所持证券的流动性受到限制而不能及时变现的，清算期限相应顺延。</w:t>
      </w:r>
    </w:p>
    <w:p w14:paraId="3B85C9EE"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6.清算费用</w:t>
      </w:r>
    </w:p>
    <w:p w14:paraId="16A0900C"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清算费用是指基金财产清算小组在进行基金财产清算过程中发生的所有合理费用，清算费用由基金财产清算小组优先从基金剩余财产中支付。</w:t>
      </w:r>
    </w:p>
    <w:p w14:paraId="28C2D502"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7.基金财产清算剩余资产的分配</w:t>
      </w:r>
    </w:p>
    <w:p w14:paraId="55726D7D"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依据基金财产清算的分配方案，将基金财产清算后的全部剩余资产扣除基金财产清算费用、交纳所欠税款并清偿基金债务后，按基金份额持有人持有的各类基金份额比例进行分配。</w:t>
      </w:r>
    </w:p>
    <w:p w14:paraId="21DF445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其中，对于投资者通过直销机构及其销售子公司认购/申购的C类基金份额，计提的销售服务费（如有）将在基金合同终止时随剩余资产分配款项一并返还给投资者；对于投资者通过其他销售机构认购/申购的C类基金份额，持续持有期限超过一年继续计提的销售服务费（如有）将在基金合同终止时随剩余资产分配款项一并返还给投资者。</w:t>
      </w:r>
    </w:p>
    <w:p w14:paraId="0D4E18C6"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8.基金财产清算的公告</w:t>
      </w:r>
    </w:p>
    <w:p w14:paraId="081922E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475B8EA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9.基金财产清算账册及文件的保存</w:t>
      </w:r>
    </w:p>
    <w:p w14:paraId="1E7CFECE" w14:textId="7B2A3B00"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基金财产清算账册及有关文件由基金托管人保存，</w:t>
      </w:r>
      <w:r w:rsidR="00463BF4" w:rsidRPr="00463BF4">
        <w:rPr>
          <w:rFonts w:ascii="彩虹粗仿宋" w:eastAsia="彩虹粗仿宋" w:hAnsi="宋体" w:cs="Arial" w:hint="eastAsia"/>
          <w:color w:val="000000" w:themeColor="text1"/>
          <w:kern w:val="0"/>
          <w:sz w:val="24"/>
          <w:szCs w:val="24"/>
        </w:rPr>
        <w:t>按照法律法规的规定执行</w:t>
      </w:r>
      <w:r>
        <w:rPr>
          <w:rFonts w:ascii="彩虹粗仿宋" w:eastAsia="彩虹粗仿宋" w:hAnsi="宋体" w:cs="Arial" w:hint="eastAsia"/>
          <w:color w:val="000000" w:themeColor="text1"/>
          <w:kern w:val="0"/>
          <w:sz w:val="24"/>
          <w:szCs w:val="24"/>
        </w:rPr>
        <w:t>。</w:t>
      </w:r>
    </w:p>
    <w:p w14:paraId="3C47DFA8" w14:textId="77777777" w:rsidR="00A818E6" w:rsidRDefault="00A818E6">
      <w:pPr>
        <w:adjustRightInd w:val="0"/>
        <w:snapToGrid w:val="0"/>
        <w:ind w:firstLineChars="200" w:firstLine="480"/>
        <w:rPr>
          <w:rFonts w:ascii="彩虹粗仿宋" w:eastAsia="彩虹粗仿宋" w:hAnsi="宋体" w:cs="Arial"/>
          <w:color w:val="000000" w:themeColor="text1"/>
          <w:kern w:val="0"/>
          <w:sz w:val="24"/>
          <w:szCs w:val="24"/>
        </w:rPr>
      </w:pPr>
    </w:p>
    <w:p w14:paraId="2C5BFA10" w14:textId="77777777" w:rsidR="00A818E6" w:rsidRDefault="008434C4">
      <w:pPr>
        <w:pStyle w:val="2"/>
        <w:jc w:val="center"/>
        <w:rPr>
          <w:rFonts w:ascii="彩虹粗仿宋" w:eastAsia="彩虹粗仿宋"/>
          <w:color w:val="000000" w:themeColor="text1"/>
        </w:rPr>
      </w:pPr>
      <w:bookmarkStart w:id="96" w:name="_Toc124325901"/>
      <w:r>
        <w:rPr>
          <w:rFonts w:ascii="彩虹粗仿宋" w:eastAsia="彩虹粗仿宋" w:hint="eastAsia"/>
          <w:color w:val="000000" w:themeColor="text1"/>
        </w:rPr>
        <w:t>十七、违约责任</w:t>
      </w:r>
      <w:bookmarkEnd w:id="96"/>
    </w:p>
    <w:p w14:paraId="5F94FCF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（一）基金管理人、基金托管人不履行本协议或履行本协议不符合约定的，应当承担违约责任。</w:t>
      </w:r>
    </w:p>
    <w:p w14:paraId="71B9A90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基金管理人、基金托管人在履行各自职责的过程中，违反《基金法》等法律法规的规定或者《基金合同》和本托管协议约定，给基金财产或者基金份额持有人造成损害的，应当分别对各自的行为依法承担赔偿责任；因共同行为给基金财产或者基金份额持有人造成损害的，应当承担连带赔偿责任</w:t>
      </w:r>
      <w:r>
        <w:rPr>
          <w:rFonts w:ascii="彩虹粗仿宋" w:eastAsia="彩虹粗仿宋" w:hAnsi="宋体" w:cs="Arial"/>
          <w:bCs/>
          <w:color w:val="000000" w:themeColor="text1"/>
          <w:kern w:val="0"/>
          <w:sz w:val="24"/>
          <w:szCs w:val="24"/>
        </w:rPr>
        <w:t>，对损失的赔偿，仅限于直接损失</w:t>
      </w:r>
      <w:r>
        <w:rPr>
          <w:rFonts w:ascii="彩虹粗仿宋" w:eastAsia="彩虹粗仿宋" w:hAnsi="宋体" w:cs="Arial" w:hint="eastAsia"/>
          <w:color w:val="000000" w:themeColor="text1"/>
          <w:kern w:val="0"/>
          <w:sz w:val="24"/>
          <w:szCs w:val="24"/>
        </w:rPr>
        <w:t>。</w:t>
      </w:r>
    </w:p>
    <w:p w14:paraId="7A968A2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三）一方当事人违约，给另一方当事人造成损失的，应就直接损失进行赔偿；给基金财产造成损失的，应就直接损失进行赔偿，另一方当事人有权利及义务代表基金向违约方追偿。但是如发生下列情况，当事人免责：</w:t>
      </w:r>
    </w:p>
    <w:p w14:paraId="7C3F93F8"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1.不可抗力；</w:t>
      </w:r>
    </w:p>
    <w:p w14:paraId="2E1C972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2.基金管理人和/或基金托管人按照届时有效的法律法规</w:t>
      </w:r>
      <w:r>
        <w:rPr>
          <w:rFonts w:ascii="彩虹粗仿宋" w:eastAsia="彩虹粗仿宋" w:hAnsi="宋体" w:cs="Arial"/>
          <w:color w:val="000000" w:themeColor="text1"/>
          <w:kern w:val="0"/>
          <w:sz w:val="24"/>
          <w:szCs w:val="24"/>
        </w:rPr>
        <w:t>或</w:t>
      </w:r>
      <w:r>
        <w:rPr>
          <w:rFonts w:ascii="彩虹粗仿宋" w:eastAsia="彩虹粗仿宋" w:hAnsi="宋体" w:cs="Arial" w:hint="eastAsia"/>
          <w:color w:val="000000" w:themeColor="text1"/>
          <w:kern w:val="0"/>
          <w:sz w:val="24"/>
          <w:szCs w:val="24"/>
        </w:rPr>
        <w:t>中国证监会的规定作为或不作为而造成的损失等；</w:t>
      </w:r>
    </w:p>
    <w:p w14:paraId="19DF1845"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3.在没有过错的情况下，基金管理人由于按照基金合同规定的投资原则</w:t>
      </w:r>
      <w:r>
        <w:rPr>
          <w:rFonts w:ascii="彩虹粗仿宋" w:eastAsia="彩虹粗仿宋" w:hAnsi="宋体" w:cs="Arial" w:hint="eastAsia"/>
          <w:bCs/>
          <w:color w:val="000000" w:themeColor="text1"/>
          <w:kern w:val="0"/>
          <w:sz w:val="24"/>
          <w:szCs w:val="24"/>
        </w:rPr>
        <w:t>行使或不行使其投资权</w:t>
      </w:r>
      <w:r>
        <w:rPr>
          <w:rFonts w:ascii="彩虹粗仿宋" w:eastAsia="彩虹粗仿宋" w:hAnsi="宋体" w:cs="Arial" w:hint="eastAsia"/>
          <w:color w:val="000000" w:themeColor="text1"/>
          <w:kern w:val="0"/>
          <w:sz w:val="24"/>
          <w:szCs w:val="24"/>
        </w:rPr>
        <w:t>而造成的</w:t>
      </w:r>
      <w:r w:rsidR="00B12D8E">
        <w:rPr>
          <w:rFonts w:ascii="彩虹粗仿宋" w:eastAsia="彩虹粗仿宋" w:hAnsi="宋体" w:cs="Arial" w:hint="eastAsia"/>
          <w:sz w:val="24"/>
        </w:rPr>
        <w:t>直接损失或潜在</w:t>
      </w:r>
      <w:r>
        <w:rPr>
          <w:rFonts w:ascii="彩虹粗仿宋" w:eastAsia="彩虹粗仿宋" w:hAnsi="宋体" w:cs="Arial" w:hint="eastAsia"/>
          <w:color w:val="000000" w:themeColor="text1"/>
          <w:kern w:val="0"/>
          <w:sz w:val="24"/>
          <w:szCs w:val="24"/>
        </w:rPr>
        <w:t>损失等。</w:t>
      </w:r>
    </w:p>
    <w:p w14:paraId="1EB2E0E4" w14:textId="77777777" w:rsidR="00B12D8E" w:rsidRPr="00636EFB" w:rsidRDefault="00B12D8E">
      <w:pPr>
        <w:adjustRightInd w:val="0"/>
        <w:snapToGrid w:val="0"/>
        <w:ind w:firstLineChars="200" w:firstLine="480"/>
        <w:rPr>
          <w:rFonts w:ascii="彩虹粗仿宋" w:eastAsia="彩虹粗仿宋" w:hAnsi="宋体" w:cs="Arial"/>
          <w:sz w:val="24"/>
        </w:rPr>
      </w:pPr>
      <w:r>
        <w:rPr>
          <w:rFonts w:ascii="彩虹粗仿宋" w:eastAsia="彩虹粗仿宋" w:hAnsi="宋体" w:cs="Arial"/>
          <w:sz w:val="24"/>
        </w:rPr>
        <w:t>4</w:t>
      </w:r>
      <w:r>
        <w:rPr>
          <w:rFonts w:ascii="彩虹粗仿宋" w:eastAsia="彩虹粗仿宋" w:hAnsi="宋体" w:cs="Arial" w:hint="eastAsia"/>
          <w:sz w:val="24"/>
        </w:rPr>
        <w:t>.非因基金管理人、基金托管人的故意或重大过失造成的计算机系统故障、网络故障、通讯故障、电力故障、计算机病毒攻击及其它意外事故所导致的损失等。</w:t>
      </w:r>
    </w:p>
    <w:p w14:paraId="4F6A4BC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（四）一方当事人违约，另一方当事人在职责范围内有义务及时采取必要的</w:t>
      </w:r>
      <w:r>
        <w:rPr>
          <w:rFonts w:ascii="彩虹粗仿宋" w:eastAsia="彩虹粗仿宋" w:hAnsi="宋体" w:cs="Arial" w:hint="eastAsia"/>
          <w:color w:val="000000" w:themeColor="text1"/>
          <w:kern w:val="0"/>
          <w:sz w:val="24"/>
          <w:szCs w:val="24"/>
        </w:rPr>
        <w:lastRenderedPageBreak/>
        <w:t>措施，尽力防止损失的扩大。没有采取适当措施致使损失进一步扩大的，不得就扩大的损失要求赔偿。非违约方因防止损失扩大而支出的合理费用由违约方承担。</w:t>
      </w:r>
    </w:p>
    <w:p w14:paraId="3BEA70B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（五）违约行为虽已发生，但本托管协议能够继续履行的，在最大限度地保护基金份额持有人利益的前提下，基金管理人和基金托管人应当继续履行本协议。</w:t>
      </w:r>
    </w:p>
    <w:p w14:paraId="2BF3827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（六）由于基金管理人、基金托管人不可控制的因素导致业务出现差错，基金管理人和基金托管人虽然已经采取必要、适当、合理的措施进行检查，但是未能发现错误</w:t>
      </w:r>
      <w:r>
        <w:rPr>
          <w:rFonts w:ascii="彩虹粗仿宋" w:eastAsia="彩虹粗仿宋" w:hAnsi="宋体" w:cs="Arial" w:hint="eastAsia"/>
          <w:bCs/>
          <w:color w:val="000000" w:themeColor="text1"/>
          <w:kern w:val="0"/>
          <w:sz w:val="24"/>
          <w:szCs w:val="24"/>
        </w:rPr>
        <w:t>或因前述原因未能避免或更正错误</w:t>
      </w:r>
      <w:r>
        <w:rPr>
          <w:rFonts w:ascii="彩虹粗仿宋" w:eastAsia="彩虹粗仿宋" w:hAnsi="宋体" w:cs="Arial" w:hint="eastAsia"/>
          <w:color w:val="000000" w:themeColor="text1"/>
          <w:kern w:val="0"/>
          <w:sz w:val="24"/>
          <w:szCs w:val="24"/>
        </w:rPr>
        <w:t>的，由此造成基金财产或投资人损失，基金管理人和基金托管人免除赔偿责任。但是基金管理人和基金托管人应积极采取必要的措施减轻或消除由此造成的影响。</w:t>
      </w:r>
    </w:p>
    <w:p w14:paraId="37DFC79F" w14:textId="77777777" w:rsidR="00A818E6" w:rsidRDefault="00A818E6">
      <w:pPr>
        <w:adjustRightInd w:val="0"/>
        <w:snapToGrid w:val="0"/>
        <w:ind w:firstLineChars="200" w:firstLine="480"/>
        <w:rPr>
          <w:rFonts w:ascii="彩虹粗仿宋" w:eastAsia="彩虹粗仿宋" w:hAnsi="宋体" w:cs="Arial"/>
          <w:color w:val="000000" w:themeColor="text1"/>
          <w:kern w:val="0"/>
          <w:sz w:val="24"/>
          <w:szCs w:val="24"/>
        </w:rPr>
      </w:pPr>
    </w:p>
    <w:p w14:paraId="1EF9FCCD" w14:textId="77777777" w:rsidR="00A818E6" w:rsidRDefault="008434C4">
      <w:pPr>
        <w:pStyle w:val="2"/>
        <w:jc w:val="center"/>
        <w:rPr>
          <w:rFonts w:ascii="彩虹粗仿宋" w:eastAsia="彩虹粗仿宋"/>
          <w:color w:val="000000" w:themeColor="text1"/>
        </w:rPr>
      </w:pPr>
      <w:bookmarkStart w:id="97" w:name="_Toc124325902"/>
      <w:r>
        <w:rPr>
          <w:rFonts w:ascii="彩虹粗仿宋" w:eastAsia="彩虹粗仿宋" w:hint="eastAsia"/>
          <w:color w:val="000000" w:themeColor="text1"/>
        </w:rPr>
        <w:t>十八、争议解决方式</w:t>
      </w:r>
      <w:bookmarkEnd w:id="97"/>
    </w:p>
    <w:p w14:paraId="7763F65F"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因本协议产生或与之相关的争议，双方当事人应尽量通过协商、调解途径解决，如经友好协商、调解未能解决的，任何一方均有权将争议提交中国国际经济贸易仲裁委员会，按照其届时有效的仲裁规则进行仲裁，仲裁地点为北京市。仲裁裁决是终局性的并对双方当事人具有约束力。除非仲裁裁决另有决定，仲裁费用由败诉方承担。</w:t>
      </w:r>
    </w:p>
    <w:p w14:paraId="50EF99A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争议处理期间，双方当事人应恪守基金管理人和基金托管人职责，各自继续忠实、勤勉、尽责地履行《基金合同》和本托管协议规定的义务，维护基金份额持有人的合法权益。</w:t>
      </w:r>
    </w:p>
    <w:p w14:paraId="12E6F20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本协议受中国法律（为托管协议之目的，在此不包括香港、澳门特别行政区和台湾地区法律）管辖并从其解释。</w:t>
      </w:r>
    </w:p>
    <w:p w14:paraId="40E036F6" w14:textId="77777777" w:rsidR="00A818E6" w:rsidRDefault="00A818E6">
      <w:pPr>
        <w:adjustRightInd w:val="0"/>
        <w:snapToGrid w:val="0"/>
        <w:ind w:firstLineChars="200" w:firstLine="480"/>
        <w:rPr>
          <w:rFonts w:ascii="彩虹粗仿宋" w:eastAsia="彩虹粗仿宋" w:hAnsi="宋体" w:cs="Arial"/>
          <w:color w:val="000000" w:themeColor="text1"/>
          <w:kern w:val="0"/>
          <w:sz w:val="24"/>
          <w:szCs w:val="24"/>
        </w:rPr>
      </w:pPr>
    </w:p>
    <w:p w14:paraId="74A94039" w14:textId="77777777" w:rsidR="00A818E6" w:rsidRDefault="008434C4">
      <w:pPr>
        <w:pStyle w:val="2"/>
        <w:jc w:val="center"/>
        <w:rPr>
          <w:rFonts w:ascii="彩虹粗仿宋" w:eastAsia="彩虹粗仿宋"/>
          <w:color w:val="000000" w:themeColor="text1"/>
        </w:rPr>
      </w:pPr>
      <w:bookmarkStart w:id="98" w:name="_Toc124325903"/>
      <w:r>
        <w:rPr>
          <w:rFonts w:ascii="彩虹粗仿宋" w:eastAsia="彩虹粗仿宋" w:hint="eastAsia"/>
          <w:color w:val="000000" w:themeColor="text1"/>
        </w:rPr>
        <w:t>十九、托管协议的效力</w:t>
      </w:r>
      <w:bookmarkEnd w:id="98"/>
    </w:p>
    <w:p w14:paraId="1C11C82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双方对托管协议的效力约定如下：</w:t>
      </w:r>
    </w:p>
    <w:p w14:paraId="7137C340"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一）基金管理人在向中国证监会申请基金募集注册时提交的托管协议草案，应经托管协议当事人双方盖章以及双方法定代表人或授权代表签字（或盖章），协议当事人双方根据中国证监会的意见修改托管协议草案。托管协议以中国证监会注册的文本为正式文本。</w:t>
      </w:r>
    </w:p>
    <w:p w14:paraId="034A549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（二）托管协议自《基金合同》成立之日起成立，自《基金合同》生效之日起生效。托管协议的有效期自其生效之日起至基金财产清算结果报中国证监会备案并公告之日止。</w:t>
      </w:r>
    </w:p>
    <w:p w14:paraId="559C7694"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lastRenderedPageBreak/>
        <w:t>（三）托管协议自生效之日起对托管协议当事人具有同等的法律约束力。</w:t>
      </w:r>
    </w:p>
    <w:p w14:paraId="6E7DF56A"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（四）本协议一式三份，协议双方各持一份，上报监管机构一份，每份具有同等的法律效力。</w:t>
      </w:r>
    </w:p>
    <w:p w14:paraId="713CD8B1" w14:textId="77777777" w:rsidR="00A818E6" w:rsidRDefault="00A818E6">
      <w:pPr>
        <w:adjustRightInd w:val="0"/>
        <w:snapToGrid w:val="0"/>
        <w:ind w:firstLineChars="200" w:firstLine="480"/>
        <w:rPr>
          <w:rFonts w:ascii="彩虹粗仿宋" w:eastAsia="彩虹粗仿宋" w:hAnsi="宋体" w:cs="Arial"/>
          <w:color w:val="000000" w:themeColor="text1"/>
          <w:kern w:val="0"/>
          <w:sz w:val="24"/>
          <w:szCs w:val="24"/>
        </w:rPr>
      </w:pPr>
    </w:p>
    <w:p w14:paraId="465201CD" w14:textId="77777777" w:rsidR="00A818E6" w:rsidRDefault="008434C4">
      <w:pPr>
        <w:pStyle w:val="2"/>
        <w:jc w:val="center"/>
        <w:rPr>
          <w:rFonts w:ascii="彩虹粗仿宋" w:eastAsia="彩虹粗仿宋"/>
          <w:color w:val="000000" w:themeColor="text1"/>
        </w:rPr>
      </w:pPr>
      <w:bookmarkStart w:id="99" w:name="_Toc124325904"/>
      <w:r>
        <w:rPr>
          <w:rFonts w:ascii="彩虹粗仿宋" w:eastAsia="彩虹粗仿宋" w:hint="eastAsia"/>
          <w:color w:val="000000" w:themeColor="text1"/>
        </w:rPr>
        <w:t>二十、其他事项</w:t>
      </w:r>
      <w:bookmarkEnd w:id="99"/>
    </w:p>
    <w:p w14:paraId="531BE6EB"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如发生有权司法机关依法冻结基金份额持有人的基金份额时，基金管理人、基金托管人应予以配合，承担司法协助义务。</w:t>
      </w:r>
    </w:p>
    <w:p w14:paraId="7076B037"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除本协议有明确定义外，本协议的用语定义适用《基金合同》的约定。本协议未尽事宜，当事人依据《基金合同》、有关法律法规等规定协商办理。</w:t>
      </w:r>
    </w:p>
    <w:p w14:paraId="14532EEF" w14:textId="77777777" w:rsidR="00A818E6" w:rsidRDefault="00A818E6">
      <w:pPr>
        <w:adjustRightInd w:val="0"/>
        <w:snapToGrid w:val="0"/>
        <w:ind w:firstLineChars="200" w:firstLine="480"/>
        <w:rPr>
          <w:rFonts w:ascii="彩虹粗仿宋" w:eastAsia="彩虹粗仿宋" w:hAnsi="宋体" w:cs="Arial"/>
          <w:color w:val="000000" w:themeColor="text1"/>
          <w:kern w:val="0"/>
          <w:sz w:val="24"/>
          <w:szCs w:val="24"/>
        </w:rPr>
      </w:pPr>
    </w:p>
    <w:p w14:paraId="563C5187" w14:textId="77777777" w:rsidR="00A818E6" w:rsidRDefault="008434C4">
      <w:pPr>
        <w:pStyle w:val="2"/>
        <w:jc w:val="center"/>
        <w:rPr>
          <w:rFonts w:ascii="彩虹粗仿宋" w:eastAsia="彩虹粗仿宋"/>
          <w:color w:val="000000" w:themeColor="text1"/>
        </w:rPr>
      </w:pPr>
      <w:bookmarkStart w:id="100" w:name="_Toc124325905"/>
      <w:r>
        <w:rPr>
          <w:rFonts w:ascii="彩虹粗仿宋" w:eastAsia="彩虹粗仿宋" w:hint="eastAsia"/>
          <w:color w:val="000000" w:themeColor="text1"/>
        </w:rPr>
        <w:t>二十一、托管协议的签订</w:t>
      </w:r>
      <w:bookmarkEnd w:id="100"/>
    </w:p>
    <w:p w14:paraId="6310858D" w14:textId="77777777" w:rsidR="00A818E6" w:rsidRDefault="008434C4">
      <w:pPr>
        <w:adjustRightInd w:val="0"/>
        <w:snapToGrid w:val="0"/>
        <w:ind w:firstLineChars="200" w:firstLine="480"/>
        <w:rPr>
          <w:rFonts w:ascii="彩虹粗仿宋" w:eastAsia="彩虹粗仿宋" w:hAnsi="宋体" w:cs="Arial"/>
          <w:color w:val="000000" w:themeColor="text1"/>
          <w:kern w:val="0"/>
          <w:sz w:val="24"/>
          <w:szCs w:val="24"/>
        </w:rPr>
      </w:pPr>
      <w:r>
        <w:rPr>
          <w:rFonts w:ascii="彩虹粗仿宋" w:eastAsia="彩虹粗仿宋" w:hAnsi="宋体" w:cs="Arial" w:hint="eastAsia"/>
          <w:color w:val="000000" w:themeColor="text1"/>
          <w:kern w:val="0"/>
          <w:sz w:val="24"/>
          <w:szCs w:val="24"/>
        </w:rPr>
        <w:t>本协议双方法定代表人或授权代表签章、签订地、签订日</w:t>
      </w:r>
    </w:p>
    <w:p w14:paraId="0BE06671" w14:textId="77777777" w:rsidR="00A818E6" w:rsidRDefault="00A818E6">
      <w:pPr>
        <w:adjustRightInd w:val="0"/>
        <w:snapToGrid w:val="0"/>
        <w:ind w:firstLineChars="200" w:firstLine="480"/>
        <w:rPr>
          <w:rFonts w:ascii="彩虹粗仿宋" w:eastAsia="彩虹粗仿宋" w:hAnsi="宋体" w:cs="Arial"/>
          <w:color w:val="000000" w:themeColor="text1"/>
          <w:kern w:val="0"/>
          <w:sz w:val="24"/>
          <w:szCs w:val="24"/>
        </w:rPr>
        <w:sectPr w:rsidR="00A818E6">
          <w:headerReference w:type="default" r:id="rId7"/>
          <w:footerReference w:type="default" r:id="rId8"/>
          <w:pgSz w:w="11906" w:h="16838"/>
          <w:pgMar w:top="1418" w:right="1701" w:bottom="1418" w:left="1701" w:header="851" w:footer="992" w:gutter="0"/>
          <w:cols w:space="425"/>
          <w:docGrid w:type="lines" w:linePitch="312"/>
        </w:sectPr>
      </w:pPr>
    </w:p>
    <w:p w14:paraId="3AC6A5F6" w14:textId="620049E4" w:rsidR="00A818E6" w:rsidRDefault="008434C4">
      <w:pPr>
        <w:spacing w:line="360" w:lineRule="auto"/>
        <w:ind w:right="26"/>
        <w:rPr>
          <w:rFonts w:ascii="彩虹粗仿宋" w:eastAsia="彩虹粗仿宋" w:hAnsi="Times New Roman" w:cs="Times New Roman"/>
          <w:color w:val="000000" w:themeColor="text1"/>
          <w:sz w:val="24"/>
          <w:szCs w:val="24"/>
        </w:rPr>
      </w:pPr>
      <w:r>
        <w:rPr>
          <w:rFonts w:ascii="彩虹粗仿宋" w:eastAsia="彩虹粗仿宋" w:hAnsi="Times New Roman" w:cs="Times New Roman" w:hint="eastAsia"/>
          <w:color w:val="000000" w:themeColor="text1"/>
          <w:sz w:val="24"/>
          <w:szCs w:val="24"/>
        </w:rPr>
        <w:lastRenderedPageBreak/>
        <w:t>本页无正文，为《万家消费启航混合型发起式证券投资基金托管协议</w:t>
      </w:r>
      <w:bookmarkStart w:id="101" w:name="_GoBack"/>
      <w:bookmarkEnd w:id="101"/>
      <w:r>
        <w:rPr>
          <w:rFonts w:ascii="彩虹粗仿宋" w:eastAsia="彩虹粗仿宋" w:hAnsi="Times New Roman" w:cs="Times New Roman" w:hint="eastAsia"/>
          <w:color w:val="000000" w:themeColor="text1"/>
          <w:sz w:val="24"/>
          <w:szCs w:val="24"/>
        </w:rPr>
        <w:t>》的签字盖章页。</w:t>
      </w:r>
    </w:p>
    <w:p w14:paraId="71D9AEF2" w14:textId="77777777" w:rsidR="00A818E6" w:rsidRDefault="00A818E6">
      <w:pPr>
        <w:spacing w:line="360" w:lineRule="auto"/>
        <w:ind w:right="26"/>
        <w:rPr>
          <w:rFonts w:ascii="彩虹粗仿宋" w:eastAsia="彩虹粗仿宋" w:hAnsi="Times New Roman" w:cs="Times New Roman"/>
          <w:color w:val="000000" w:themeColor="text1"/>
          <w:sz w:val="24"/>
          <w:szCs w:val="24"/>
        </w:rPr>
      </w:pPr>
    </w:p>
    <w:p w14:paraId="47197F49" w14:textId="77777777" w:rsidR="00A818E6" w:rsidRDefault="00A818E6">
      <w:pPr>
        <w:spacing w:line="360" w:lineRule="auto"/>
        <w:ind w:right="26"/>
        <w:rPr>
          <w:rFonts w:ascii="彩虹粗仿宋" w:eastAsia="彩虹粗仿宋" w:hAnsi="Times New Roman" w:cs="Times New Roman"/>
          <w:color w:val="000000" w:themeColor="text1"/>
          <w:sz w:val="24"/>
          <w:szCs w:val="24"/>
        </w:rPr>
      </w:pPr>
    </w:p>
    <w:p w14:paraId="3834F9A6" w14:textId="77777777" w:rsidR="00A818E6" w:rsidRDefault="00A818E6">
      <w:pPr>
        <w:spacing w:line="360" w:lineRule="auto"/>
        <w:ind w:right="26"/>
        <w:rPr>
          <w:rFonts w:ascii="彩虹粗仿宋" w:eastAsia="彩虹粗仿宋" w:hAnsi="Times New Roman" w:cs="Times New Roman"/>
          <w:color w:val="000000" w:themeColor="text1"/>
          <w:sz w:val="24"/>
          <w:szCs w:val="24"/>
        </w:rPr>
      </w:pPr>
    </w:p>
    <w:p w14:paraId="635A1EE2" w14:textId="77777777" w:rsidR="00A818E6" w:rsidRDefault="008434C4">
      <w:pPr>
        <w:spacing w:line="360" w:lineRule="auto"/>
        <w:ind w:right="26"/>
        <w:rPr>
          <w:rFonts w:ascii="彩虹粗仿宋" w:eastAsia="彩虹粗仿宋" w:hAnsi="Times New Roman" w:cs="Times New Roman"/>
          <w:color w:val="000000" w:themeColor="text1"/>
          <w:sz w:val="24"/>
          <w:szCs w:val="24"/>
        </w:rPr>
      </w:pPr>
      <w:r>
        <w:rPr>
          <w:rFonts w:ascii="彩虹粗仿宋" w:eastAsia="彩虹粗仿宋" w:hAnsi="Times New Roman" w:cs="Times New Roman" w:hint="eastAsia"/>
          <w:color w:val="000000" w:themeColor="text1"/>
          <w:sz w:val="24"/>
          <w:szCs w:val="24"/>
        </w:rPr>
        <w:t>基金管理人：万家基金管理有限公司（盖章）</w:t>
      </w:r>
    </w:p>
    <w:p w14:paraId="135FAC2E" w14:textId="77777777" w:rsidR="00A818E6" w:rsidRDefault="00A818E6">
      <w:pPr>
        <w:spacing w:line="360" w:lineRule="auto"/>
        <w:ind w:right="26"/>
        <w:rPr>
          <w:rFonts w:ascii="彩虹粗仿宋" w:eastAsia="彩虹粗仿宋" w:hAnsi="Times New Roman" w:cs="Times New Roman"/>
          <w:color w:val="000000" w:themeColor="text1"/>
          <w:sz w:val="24"/>
          <w:szCs w:val="24"/>
        </w:rPr>
      </w:pPr>
    </w:p>
    <w:p w14:paraId="585D1FA6" w14:textId="77777777" w:rsidR="00A818E6" w:rsidRDefault="00A818E6">
      <w:pPr>
        <w:spacing w:line="360" w:lineRule="auto"/>
        <w:ind w:right="26"/>
        <w:rPr>
          <w:rFonts w:ascii="彩虹粗仿宋" w:eastAsia="彩虹粗仿宋" w:hAnsi="Times New Roman" w:cs="Times New Roman"/>
          <w:color w:val="000000" w:themeColor="text1"/>
          <w:sz w:val="24"/>
          <w:szCs w:val="24"/>
        </w:rPr>
      </w:pPr>
    </w:p>
    <w:p w14:paraId="07941354" w14:textId="77777777" w:rsidR="00A818E6" w:rsidRDefault="008434C4">
      <w:pPr>
        <w:spacing w:line="360" w:lineRule="auto"/>
        <w:ind w:right="26"/>
        <w:rPr>
          <w:rFonts w:ascii="彩虹粗仿宋" w:eastAsia="彩虹粗仿宋" w:hAnsi="Times New Roman" w:cs="Times New Roman"/>
          <w:color w:val="000000" w:themeColor="text1"/>
          <w:sz w:val="24"/>
          <w:szCs w:val="24"/>
        </w:rPr>
      </w:pPr>
      <w:r>
        <w:rPr>
          <w:rFonts w:ascii="彩虹粗仿宋" w:eastAsia="彩虹粗仿宋" w:hAnsi="Times New Roman" w:cs="Times New Roman" w:hint="eastAsia"/>
          <w:color w:val="000000" w:themeColor="text1"/>
          <w:sz w:val="24"/>
          <w:szCs w:val="24"/>
        </w:rPr>
        <w:t xml:space="preserve">法定代表人或授权代表：                   </w:t>
      </w:r>
    </w:p>
    <w:p w14:paraId="56B61FD5" w14:textId="77777777" w:rsidR="00A818E6" w:rsidRDefault="00A818E6">
      <w:pPr>
        <w:spacing w:line="360" w:lineRule="auto"/>
        <w:ind w:right="26"/>
        <w:rPr>
          <w:rFonts w:ascii="彩虹粗仿宋" w:eastAsia="彩虹粗仿宋" w:hAnsi="Times New Roman" w:cs="Times New Roman"/>
          <w:color w:val="000000" w:themeColor="text1"/>
          <w:sz w:val="24"/>
          <w:szCs w:val="24"/>
        </w:rPr>
      </w:pPr>
    </w:p>
    <w:p w14:paraId="23F00F90" w14:textId="77777777" w:rsidR="00A818E6" w:rsidRDefault="00A818E6">
      <w:pPr>
        <w:spacing w:line="360" w:lineRule="auto"/>
        <w:ind w:right="26"/>
        <w:rPr>
          <w:rFonts w:ascii="彩虹粗仿宋" w:eastAsia="彩虹粗仿宋" w:hAnsi="Times New Roman" w:cs="Times New Roman"/>
          <w:color w:val="000000" w:themeColor="text1"/>
          <w:sz w:val="24"/>
          <w:szCs w:val="24"/>
        </w:rPr>
      </w:pPr>
    </w:p>
    <w:p w14:paraId="4B91D157" w14:textId="77777777" w:rsidR="00A818E6" w:rsidRDefault="008434C4">
      <w:pPr>
        <w:spacing w:line="360" w:lineRule="auto"/>
        <w:ind w:right="26"/>
        <w:rPr>
          <w:rFonts w:ascii="彩虹粗仿宋" w:eastAsia="彩虹粗仿宋" w:hAnsi="Times New Roman" w:cs="Times New Roman"/>
          <w:color w:val="000000" w:themeColor="text1"/>
          <w:sz w:val="24"/>
          <w:szCs w:val="24"/>
        </w:rPr>
      </w:pPr>
      <w:r>
        <w:rPr>
          <w:rFonts w:ascii="彩虹粗仿宋" w:eastAsia="彩虹粗仿宋" w:hAnsi="Times New Roman" w:cs="Times New Roman" w:hint="eastAsia"/>
          <w:color w:val="000000" w:themeColor="text1"/>
          <w:sz w:val="24"/>
          <w:szCs w:val="24"/>
        </w:rPr>
        <w:t>基金托管人：中国建设银行股份有限公司（盖章）</w:t>
      </w:r>
    </w:p>
    <w:p w14:paraId="3418E221" w14:textId="77777777" w:rsidR="00A818E6" w:rsidRDefault="00A818E6">
      <w:pPr>
        <w:spacing w:line="360" w:lineRule="auto"/>
        <w:ind w:right="26"/>
        <w:rPr>
          <w:rFonts w:ascii="彩虹粗仿宋" w:eastAsia="彩虹粗仿宋" w:hAnsi="Times New Roman" w:cs="Times New Roman"/>
          <w:color w:val="000000" w:themeColor="text1"/>
          <w:sz w:val="24"/>
          <w:szCs w:val="24"/>
        </w:rPr>
      </w:pPr>
    </w:p>
    <w:p w14:paraId="39A7D891" w14:textId="77777777" w:rsidR="00A818E6" w:rsidRDefault="00A818E6">
      <w:pPr>
        <w:spacing w:line="360" w:lineRule="auto"/>
        <w:ind w:right="26"/>
        <w:rPr>
          <w:rFonts w:ascii="彩虹粗仿宋" w:eastAsia="彩虹粗仿宋" w:hAnsi="Times New Roman" w:cs="Times New Roman"/>
          <w:color w:val="000000" w:themeColor="text1"/>
          <w:sz w:val="24"/>
          <w:szCs w:val="24"/>
        </w:rPr>
      </w:pPr>
    </w:p>
    <w:p w14:paraId="772BFE93" w14:textId="77777777" w:rsidR="00A818E6" w:rsidRDefault="008434C4">
      <w:pPr>
        <w:spacing w:line="360" w:lineRule="auto"/>
        <w:ind w:right="26"/>
        <w:rPr>
          <w:rFonts w:ascii="彩虹粗仿宋" w:eastAsia="彩虹粗仿宋" w:hAnsi="Times New Roman" w:cs="Times New Roman"/>
          <w:color w:val="000000" w:themeColor="text1"/>
          <w:sz w:val="24"/>
          <w:szCs w:val="24"/>
        </w:rPr>
      </w:pPr>
      <w:r>
        <w:rPr>
          <w:rFonts w:ascii="彩虹粗仿宋" w:eastAsia="彩虹粗仿宋" w:hAnsi="Times New Roman" w:cs="Times New Roman" w:hint="eastAsia"/>
          <w:color w:val="000000" w:themeColor="text1"/>
          <w:sz w:val="24"/>
          <w:szCs w:val="24"/>
        </w:rPr>
        <w:t xml:space="preserve">法定代表人或授权代表：                   </w:t>
      </w:r>
    </w:p>
    <w:p w14:paraId="6DD24DAD" w14:textId="77777777" w:rsidR="00A818E6" w:rsidRDefault="00A818E6">
      <w:pPr>
        <w:spacing w:line="360" w:lineRule="auto"/>
        <w:ind w:right="26"/>
        <w:rPr>
          <w:rFonts w:ascii="彩虹粗仿宋" w:eastAsia="彩虹粗仿宋" w:hAnsi="Times New Roman" w:cs="Times New Roman"/>
          <w:color w:val="000000" w:themeColor="text1"/>
          <w:sz w:val="24"/>
          <w:szCs w:val="24"/>
        </w:rPr>
      </w:pPr>
    </w:p>
    <w:p w14:paraId="37FAE4DA" w14:textId="77777777" w:rsidR="00A818E6" w:rsidRDefault="00A818E6">
      <w:pPr>
        <w:spacing w:line="360" w:lineRule="auto"/>
        <w:ind w:right="26"/>
        <w:rPr>
          <w:rFonts w:ascii="彩虹粗仿宋" w:eastAsia="彩虹粗仿宋" w:hAnsi="Times New Roman" w:cs="Times New Roman"/>
          <w:color w:val="000000" w:themeColor="text1"/>
          <w:sz w:val="24"/>
          <w:szCs w:val="24"/>
        </w:rPr>
      </w:pPr>
    </w:p>
    <w:p w14:paraId="2F2A548A" w14:textId="77777777" w:rsidR="00A818E6" w:rsidRDefault="00A818E6">
      <w:pPr>
        <w:spacing w:line="360" w:lineRule="auto"/>
        <w:ind w:right="26"/>
        <w:rPr>
          <w:rFonts w:ascii="彩虹粗仿宋" w:eastAsia="彩虹粗仿宋" w:hAnsi="Times New Roman" w:cs="Times New Roman"/>
          <w:color w:val="000000" w:themeColor="text1"/>
          <w:sz w:val="24"/>
          <w:szCs w:val="24"/>
        </w:rPr>
      </w:pPr>
    </w:p>
    <w:p w14:paraId="05FA07B4" w14:textId="77777777" w:rsidR="00A818E6" w:rsidRDefault="00A818E6">
      <w:pPr>
        <w:spacing w:line="360" w:lineRule="auto"/>
        <w:ind w:right="26"/>
        <w:rPr>
          <w:rFonts w:ascii="彩虹粗仿宋" w:eastAsia="彩虹粗仿宋" w:hAnsi="Times New Roman" w:cs="Times New Roman"/>
          <w:color w:val="000000" w:themeColor="text1"/>
          <w:sz w:val="24"/>
          <w:szCs w:val="24"/>
        </w:rPr>
      </w:pPr>
    </w:p>
    <w:p w14:paraId="64064880" w14:textId="469AFB61" w:rsidR="00A818E6" w:rsidRDefault="008434C4">
      <w:pPr>
        <w:spacing w:line="360" w:lineRule="auto"/>
        <w:ind w:right="26"/>
        <w:rPr>
          <w:rFonts w:ascii="彩虹粗仿宋" w:eastAsia="彩虹粗仿宋" w:hAnsi="Times New Roman" w:cs="Times New Roman"/>
          <w:color w:val="000000" w:themeColor="text1"/>
          <w:sz w:val="24"/>
          <w:szCs w:val="24"/>
        </w:rPr>
      </w:pPr>
      <w:r>
        <w:rPr>
          <w:rFonts w:ascii="彩虹粗仿宋" w:eastAsia="彩虹粗仿宋" w:hAnsi="Times New Roman" w:cs="Times New Roman" w:hint="eastAsia"/>
          <w:color w:val="000000" w:themeColor="text1"/>
          <w:sz w:val="24"/>
          <w:szCs w:val="24"/>
        </w:rPr>
        <w:t>签订地点：</w:t>
      </w:r>
    </w:p>
    <w:p w14:paraId="6018349C" w14:textId="42AA8EA1" w:rsidR="00A818E6" w:rsidRDefault="008434C4">
      <w:pPr>
        <w:spacing w:line="360" w:lineRule="auto"/>
        <w:ind w:right="26"/>
        <w:rPr>
          <w:rFonts w:ascii="彩虹粗仿宋" w:eastAsia="彩虹粗仿宋" w:hAnsi="Times New Roman" w:cs="Times New Roman"/>
          <w:color w:val="000000" w:themeColor="text1"/>
          <w:sz w:val="24"/>
          <w:szCs w:val="24"/>
        </w:rPr>
      </w:pPr>
      <w:r>
        <w:rPr>
          <w:rFonts w:ascii="彩虹粗仿宋" w:eastAsia="彩虹粗仿宋" w:hAnsi="Times New Roman" w:cs="Times New Roman" w:hint="eastAsia"/>
          <w:color w:val="000000" w:themeColor="text1"/>
          <w:sz w:val="24"/>
          <w:szCs w:val="24"/>
        </w:rPr>
        <w:t xml:space="preserve">签 订 日：二零二六年 </w:t>
      </w:r>
      <w:r>
        <w:rPr>
          <w:rFonts w:ascii="彩虹粗仿宋" w:eastAsia="彩虹粗仿宋" w:hAnsi="Times New Roman" w:cs="Times New Roman"/>
          <w:color w:val="000000" w:themeColor="text1"/>
          <w:sz w:val="24"/>
          <w:szCs w:val="24"/>
        </w:rPr>
        <w:t xml:space="preserve">  </w:t>
      </w:r>
      <w:r>
        <w:rPr>
          <w:rFonts w:ascii="彩虹粗仿宋" w:eastAsia="彩虹粗仿宋" w:hAnsi="Times New Roman" w:cs="Times New Roman" w:hint="eastAsia"/>
          <w:color w:val="000000" w:themeColor="text1"/>
          <w:sz w:val="24"/>
          <w:szCs w:val="24"/>
        </w:rPr>
        <w:t xml:space="preserve">月 </w:t>
      </w:r>
      <w:r>
        <w:rPr>
          <w:rFonts w:ascii="彩虹粗仿宋" w:eastAsia="彩虹粗仿宋" w:hAnsi="Times New Roman" w:cs="Times New Roman"/>
          <w:color w:val="000000" w:themeColor="text1"/>
          <w:sz w:val="24"/>
          <w:szCs w:val="24"/>
        </w:rPr>
        <w:t xml:space="preserve">  </w:t>
      </w:r>
      <w:r>
        <w:rPr>
          <w:rFonts w:ascii="彩虹粗仿宋" w:eastAsia="彩虹粗仿宋" w:hAnsi="Times New Roman" w:cs="Times New Roman" w:hint="eastAsia"/>
          <w:color w:val="000000" w:themeColor="text1"/>
          <w:sz w:val="24"/>
          <w:szCs w:val="24"/>
        </w:rPr>
        <w:t>日</w:t>
      </w:r>
    </w:p>
    <w:sectPr w:rsidR="00A818E6">
      <w:headerReference w:type="default" r:id="rId9"/>
      <w:footerReference w:type="default" r:id="rId10"/>
      <w:pgSz w:w="11906" w:h="16838"/>
      <w:pgMar w:top="1418" w:right="1701" w:bottom="1418" w:left="1701"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83611B" w16cid:durableId="2D713E66"/>
  <w16cid:commentId w16cid:paraId="52312040" w16cid:durableId="2D713E67"/>
  <w16cid:commentId w16cid:paraId="41AF101D" w16cid:durableId="2D713E68"/>
  <w16cid:commentId w16cid:paraId="740A12B5" w16cid:durableId="2D713E69"/>
  <w16cid:commentId w16cid:paraId="417C925B" w16cid:durableId="2D713E6A"/>
  <w16cid:commentId w16cid:paraId="63077669" w16cid:durableId="2D713E6B"/>
  <w16cid:commentId w16cid:paraId="305693AE" w16cid:durableId="2D713E6C"/>
  <w16cid:commentId w16cid:paraId="046C4585" w16cid:durableId="2D713E6D"/>
  <w16cid:commentId w16cid:paraId="48B3A17C" w16cid:durableId="2D713E6E"/>
  <w16cid:commentId w16cid:paraId="2E46E54B" w16cid:durableId="2D713E6F"/>
  <w16cid:commentId w16cid:paraId="70D74084" w16cid:durableId="2D713E70"/>
  <w16cid:commentId w16cid:paraId="0CD2F2BB" w16cid:durableId="2D713E71"/>
  <w16cid:commentId w16cid:paraId="13B69D45" w16cid:durableId="2D713E72"/>
  <w16cid:commentId w16cid:paraId="4CA87448" w16cid:durableId="2D713E73"/>
  <w16cid:commentId w16cid:paraId="7581C405" w16cid:durableId="2D713E74"/>
  <w16cid:commentId w16cid:paraId="0E49FA2B" w16cid:durableId="2D713E75"/>
  <w16cid:commentId w16cid:paraId="470EEAF5" w16cid:durableId="2D713E76"/>
  <w16cid:commentId w16cid:paraId="2258A0B5" w16cid:durableId="2D713E77"/>
  <w16cid:commentId w16cid:paraId="3D1A0237" w16cid:durableId="2D713E78"/>
  <w16cid:commentId w16cid:paraId="29D3D63E" w16cid:durableId="2D713E79"/>
  <w16cid:commentId w16cid:paraId="3ECECF55" w16cid:durableId="2D713E7A"/>
  <w16cid:commentId w16cid:paraId="1EF4BC4F" w16cid:durableId="2D713E7B"/>
  <w16cid:commentId w16cid:paraId="2DE8E0AB" w16cid:durableId="2D713E7C"/>
  <w16cid:commentId w16cid:paraId="59FFBBEA" w16cid:durableId="2D713E7D"/>
  <w16cid:commentId w16cid:paraId="42D8D7E6" w16cid:durableId="2D713E7E"/>
  <w16cid:commentId w16cid:paraId="13DF6EDF" w16cid:durableId="2D713E7F"/>
  <w16cid:commentId w16cid:paraId="72F597DF" w16cid:durableId="2D713E80"/>
  <w16cid:commentId w16cid:paraId="7DAD0C18" w16cid:durableId="2D713E81"/>
  <w16cid:commentId w16cid:paraId="72B5DF90" w16cid:durableId="2D713E82"/>
  <w16cid:commentId w16cid:paraId="464E986A" w16cid:durableId="2D713E83"/>
  <w16cid:commentId w16cid:paraId="5039F326" w16cid:durableId="2D713E84"/>
  <w16cid:commentId w16cid:paraId="5A31CE12" w16cid:durableId="2D713E85"/>
  <w16cid:commentId w16cid:paraId="43BB7D81" w16cid:durableId="2D713E86"/>
  <w16cid:commentId w16cid:paraId="0ACA8619" w16cid:durableId="2D713E87"/>
  <w16cid:commentId w16cid:paraId="16872475" w16cid:durableId="2D713E88"/>
  <w16cid:commentId w16cid:paraId="598E58E5" w16cid:durableId="2D713E89"/>
  <w16cid:commentId w16cid:paraId="0983262A" w16cid:durableId="2D713E8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1D35D" w14:textId="77777777" w:rsidR="004E12B0" w:rsidRDefault="004E12B0">
      <w:r>
        <w:separator/>
      </w:r>
    </w:p>
  </w:endnote>
  <w:endnote w:type="continuationSeparator" w:id="0">
    <w:p w14:paraId="1003C464" w14:textId="77777777" w:rsidR="004E12B0" w:rsidRDefault="004E1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Arial"/>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仿宋简体">
    <w:panose1 w:val="02000000000000000000"/>
    <w:charset w:val="86"/>
    <w:family w:val="auto"/>
    <w:pitch w:val="variable"/>
    <w:sig w:usb0="A00002BF" w:usb1="184F6CFA" w:usb2="00000012" w:usb3="00000000" w:csb0="00040001" w:csb1="00000000"/>
  </w:font>
  <w:font w:name="Arial Unicode MS">
    <w:panose1 w:val="020B0604020202020204"/>
    <w:charset w:val="00"/>
    <w:family w:val="roman"/>
    <w:pitch w:val="default"/>
    <w:sig w:usb0="00000000" w:usb1="00000000" w:usb2="00000000" w:usb3="00000000" w:csb0="00000001" w:csb1="00000000"/>
  </w:font>
  <w:font w:name="楷体_GB2312">
    <w:altName w:val="楷体"/>
    <w:panose1 w:val="00000000000000000000"/>
    <w:charset w:val="86"/>
    <w:family w:val="roman"/>
    <w:notTrueType/>
    <w:pitch w:val="default"/>
  </w:font>
  <w:font w:name="彩虹粗仿宋">
    <w:altName w:val="Microsoft YaHei UI"/>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628446"/>
    </w:sdtPr>
    <w:sdtEndPr/>
    <w:sdtContent>
      <w:p w14:paraId="32520474" w14:textId="3C6DCA85" w:rsidR="00ED0BBE" w:rsidRDefault="00ED0BBE">
        <w:pPr>
          <w:pStyle w:val="ab"/>
          <w:jc w:val="center"/>
        </w:pPr>
        <w:r>
          <w:fldChar w:fldCharType="begin"/>
        </w:r>
        <w:r>
          <w:instrText>PAGE   \* MERGEFORMAT</w:instrText>
        </w:r>
        <w:r>
          <w:fldChar w:fldCharType="separate"/>
        </w:r>
        <w:r w:rsidR="00CA0BBD" w:rsidRPr="00CA0BBD">
          <w:rPr>
            <w:noProof/>
            <w:lang w:val="zh-CN"/>
          </w:rPr>
          <w:t>39</w:t>
        </w:r>
        <w:r>
          <w:fldChar w:fldCharType="end"/>
        </w:r>
      </w:p>
    </w:sdtContent>
  </w:sdt>
  <w:p w14:paraId="0F81A2A5" w14:textId="77777777" w:rsidR="00ED0BBE" w:rsidRDefault="00ED0BBE">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017CE" w14:textId="77777777" w:rsidR="00ED0BBE" w:rsidRDefault="00ED0BB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78D95" w14:textId="77777777" w:rsidR="004E12B0" w:rsidRDefault="004E12B0">
      <w:r>
        <w:separator/>
      </w:r>
    </w:p>
  </w:footnote>
  <w:footnote w:type="continuationSeparator" w:id="0">
    <w:p w14:paraId="1ECD3845" w14:textId="77777777" w:rsidR="004E12B0" w:rsidRDefault="004E12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03F54" w14:textId="77777777" w:rsidR="00ED0BBE" w:rsidRDefault="00ED0BBE">
    <w:pPr>
      <w:pStyle w:val="ad"/>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36769" w14:textId="77777777" w:rsidR="00ED0BBE" w:rsidRDefault="00ED0BBE">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C8A"/>
    <w:rsid w:val="00007045"/>
    <w:rsid w:val="00012366"/>
    <w:rsid w:val="0001514C"/>
    <w:rsid w:val="00040D66"/>
    <w:rsid w:val="00042C5F"/>
    <w:rsid w:val="00047F8A"/>
    <w:rsid w:val="0005214B"/>
    <w:rsid w:val="00053EE9"/>
    <w:rsid w:val="00060A88"/>
    <w:rsid w:val="000663CE"/>
    <w:rsid w:val="00070572"/>
    <w:rsid w:val="0008060B"/>
    <w:rsid w:val="00081B1B"/>
    <w:rsid w:val="000A3823"/>
    <w:rsid w:val="000A5A0B"/>
    <w:rsid w:val="000A5D4A"/>
    <w:rsid w:val="000B0CA2"/>
    <w:rsid w:val="000B2202"/>
    <w:rsid w:val="000B35BE"/>
    <w:rsid w:val="000B58EB"/>
    <w:rsid w:val="000B7269"/>
    <w:rsid w:val="000C0E35"/>
    <w:rsid w:val="000D55C1"/>
    <w:rsid w:val="000E189F"/>
    <w:rsid w:val="000E1F23"/>
    <w:rsid w:val="000F24E6"/>
    <w:rsid w:val="000F382A"/>
    <w:rsid w:val="000F4B35"/>
    <w:rsid w:val="00120E7C"/>
    <w:rsid w:val="0012180D"/>
    <w:rsid w:val="001341B5"/>
    <w:rsid w:val="00164A5E"/>
    <w:rsid w:val="001653CE"/>
    <w:rsid w:val="00171EA6"/>
    <w:rsid w:val="001731A2"/>
    <w:rsid w:val="0017413D"/>
    <w:rsid w:val="00193567"/>
    <w:rsid w:val="00194BFB"/>
    <w:rsid w:val="001963CC"/>
    <w:rsid w:val="001A4D6C"/>
    <w:rsid w:val="001C210A"/>
    <w:rsid w:val="001C6569"/>
    <w:rsid w:val="001D12CA"/>
    <w:rsid w:val="001D19D7"/>
    <w:rsid w:val="001D2DB4"/>
    <w:rsid w:val="001D5F73"/>
    <w:rsid w:val="001E3EF6"/>
    <w:rsid w:val="001F61A3"/>
    <w:rsid w:val="001F7FC8"/>
    <w:rsid w:val="0020186F"/>
    <w:rsid w:val="00204513"/>
    <w:rsid w:val="00211CD4"/>
    <w:rsid w:val="00212A82"/>
    <w:rsid w:val="00212D6A"/>
    <w:rsid w:val="00224CE3"/>
    <w:rsid w:val="00230180"/>
    <w:rsid w:val="0023324A"/>
    <w:rsid w:val="002349A2"/>
    <w:rsid w:val="002367EB"/>
    <w:rsid w:val="00240DB0"/>
    <w:rsid w:val="00247FDB"/>
    <w:rsid w:val="0025322E"/>
    <w:rsid w:val="00262386"/>
    <w:rsid w:val="00262B55"/>
    <w:rsid w:val="0027680B"/>
    <w:rsid w:val="002803A3"/>
    <w:rsid w:val="002933DA"/>
    <w:rsid w:val="00294BA8"/>
    <w:rsid w:val="002964B0"/>
    <w:rsid w:val="002A6C25"/>
    <w:rsid w:val="002B313E"/>
    <w:rsid w:val="002C784A"/>
    <w:rsid w:val="002C7E68"/>
    <w:rsid w:val="002D517B"/>
    <w:rsid w:val="002E2ADC"/>
    <w:rsid w:val="002E45D2"/>
    <w:rsid w:val="002E7C5E"/>
    <w:rsid w:val="002F3E23"/>
    <w:rsid w:val="002F73D1"/>
    <w:rsid w:val="00302AF3"/>
    <w:rsid w:val="0032369E"/>
    <w:rsid w:val="0033400A"/>
    <w:rsid w:val="00336204"/>
    <w:rsid w:val="003454F0"/>
    <w:rsid w:val="00353A76"/>
    <w:rsid w:val="00365D60"/>
    <w:rsid w:val="00367420"/>
    <w:rsid w:val="00375783"/>
    <w:rsid w:val="00396E95"/>
    <w:rsid w:val="003A2225"/>
    <w:rsid w:val="003B5C38"/>
    <w:rsid w:val="003B7047"/>
    <w:rsid w:val="003C05B5"/>
    <w:rsid w:val="003C250B"/>
    <w:rsid w:val="003C3AC8"/>
    <w:rsid w:val="003D0EED"/>
    <w:rsid w:val="003D30B5"/>
    <w:rsid w:val="003D4219"/>
    <w:rsid w:val="003E1BD4"/>
    <w:rsid w:val="003E44C9"/>
    <w:rsid w:val="003F5AB0"/>
    <w:rsid w:val="003F6060"/>
    <w:rsid w:val="004123F1"/>
    <w:rsid w:val="0042367D"/>
    <w:rsid w:val="0042550A"/>
    <w:rsid w:val="00426FEE"/>
    <w:rsid w:val="00437765"/>
    <w:rsid w:val="00446611"/>
    <w:rsid w:val="004605F5"/>
    <w:rsid w:val="00461B9D"/>
    <w:rsid w:val="0046319E"/>
    <w:rsid w:val="00463BF4"/>
    <w:rsid w:val="00475EB2"/>
    <w:rsid w:val="00477B63"/>
    <w:rsid w:val="00492575"/>
    <w:rsid w:val="004A0542"/>
    <w:rsid w:val="004A1E39"/>
    <w:rsid w:val="004A323B"/>
    <w:rsid w:val="004A5831"/>
    <w:rsid w:val="004B1AEC"/>
    <w:rsid w:val="004B5952"/>
    <w:rsid w:val="004D01F7"/>
    <w:rsid w:val="004D1696"/>
    <w:rsid w:val="004D3D89"/>
    <w:rsid w:val="004E12B0"/>
    <w:rsid w:val="004F2098"/>
    <w:rsid w:val="004F38AF"/>
    <w:rsid w:val="004F4300"/>
    <w:rsid w:val="005012FD"/>
    <w:rsid w:val="00504FD4"/>
    <w:rsid w:val="00514356"/>
    <w:rsid w:val="005221EB"/>
    <w:rsid w:val="005251B2"/>
    <w:rsid w:val="005302A5"/>
    <w:rsid w:val="00533756"/>
    <w:rsid w:val="005439AA"/>
    <w:rsid w:val="005454C3"/>
    <w:rsid w:val="0054732F"/>
    <w:rsid w:val="00556C0D"/>
    <w:rsid w:val="00563D8F"/>
    <w:rsid w:val="00573D45"/>
    <w:rsid w:val="00575450"/>
    <w:rsid w:val="00577FA5"/>
    <w:rsid w:val="005817F5"/>
    <w:rsid w:val="00582E5D"/>
    <w:rsid w:val="005838A3"/>
    <w:rsid w:val="005A1001"/>
    <w:rsid w:val="005A1993"/>
    <w:rsid w:val="005A344C"/>
    <w:rsid w:val="005A4FF1"/>
    <w:rsid w:val="005A6575"/>
    <w:rsid w:val="005B11F2"/>
    <w:rsid w:val="005B6557"/>
    <w:rsid w:val="005B7592"/>
    <w:rsid w:val="005C4EB3"/>
    <w:rsid w:val="005C6226"/>
    <w:rsid w:val="005D312A"/>
    <w:rsid w:val="005E0E5A"/>
    <w:rsid w:val="005E738A"/>
    <w:rsid w:val="005F351A"/>
    <w:rsid w:val="006011FB"/>
    <w:rsid w:val="006029FB"/>
    <w:rsid w:val="0060448A"/>
    <w:rsid w:val="00616871"/>
    <w:rsid w:val="00623E2C"/>
    <w:rsid w:val="00634300"/>
    <w:rsid w:val="00635933"/>
    <w:rsid w:val="00636EFB"/>
    <w:rsid w:val="00643751"/>
    <w:rsid w:val="00646C8E"/>
    <w:rsid w:val="006503A1"/>
    <w:rsid w:val="00651AB8"/>
    <w:rsid w:val="00660216"/>
    <w:rsid w:val="00662513"/>
    <w:rsid w:val="0066292F"/>
    <w:rsid w:val="00666143"/>
    <w:rsid w:val="00671189"/>
    <w:rsid w:val="00680E54"/>
    <w:rsid w:val="00690FB9"/>
    <w:rsid w:val="00696CC2"/>
    <w:rsid w:val="00697059"/>
    <w:rsid w:val="006A2665"/>
    <w:rsid w:val="006C1821"/>
    <w:rsid w:val="006C6C08"/>
    <w:rsid w:val="006D1853"/>
    <w:rsid w:val="006D362A"/>
    <w:rsid w:val="006D417D"/>
    <w:rsid w:val="006D48D5"/>
    <w:rsid w:val="006E2D5F"/>
    <w:rsid w:val="006E3421"/>
    <w:rsid w:val="006E65BA"/>
    <w:rsid w:val="006E71DA"/>
    <w:rsid w:val="006F328F"/>
    <w:rsid w:val="006F47B9"/>
    <w:rsid w:val="006F67E2"/>
    <w:rsid w:val="007006CC"/>
    <w:rsid w:val="00703CA5"/>
    <w:rsid w:val="00704074"/>
    <w:rsid w:val="00705782"/>
    <w:rsid w:val="0071170D"/>
    <w:rsid w:val="00714D25"/>
    <w:rsid w:val="007155FF"/>
    <w:rsid w:val="007318DB"/>
    <w:rsid w:val="00750E24"/>
    <w:rsid w:val="00753B8B"/>
    <w:rsid w:val="0076638C"/>
    <w:rsid w:val="007702FF"/>
    <w:rsid w:val="007846CE"/>
    <w:rsid w:val="00786093"/>
    <w:rsid w:val="007940A6"/>
    <w:rsid w:val="007970F7"/>
    <w:rsid w:val="007A6E7B"/>
    <w:rsid w:val="007B6934"/>
    <w:rsid w:val="007C231E"/>
    <w:rsid w:val="007C2A10"/>
    <w:rsid w:val="007C7EEE"/>
    <w:rsid w:val="007D0E04"/>
    <w:rsid w:val="007D4393"/>
    <w:rsid w:val="007D7788"/>
    <w:rsid w:val="007E0C3C"/>
    <w:rsid w:val="007E4C65"/>
    <w:rsid w:val="007E58B2"/>
    <w:rsid w:val="007E58FA"/>
    <w:rsid w:val="007F0F05"/>
    <w:rsid w:val="007F6E93"/>
    <w:rsid w:val="00806D5B"/>
    <w:rsid w:val="00833ADA"/>
    <w:rsid w:val="008434C4"/>
    <w:rsid w:val="00844711"/>
    <w:rsid w:val="00851F1B"/>
    <w:rsid w:val="008520AE"/>
    <w:rsid w:val="008559E0"/>
    <w:rsid w:val="00860826"/>
    <w:rsid w:val="008855DC"/>
    <w:rsid w:val="008959DF"/>
    <w:rsid w:val="008A7211"/>
    <w:rsid w:val="008C3C50"/>
    <w:rsid w:val="008D0C2D"/>
    <w:rsid w:val="008D24A4"/>
    <w:rsid w:val="008E57CF"/>
    <w:rsid w:val="008F11D3"/>
    <w:rsid w:val="008F12BC"/>
    <w:rsid w:val="008F3BE8"/>
    <w:rsid w:val="008F44FB"/>
    <w:rsid w:val="00912D38"/>
    <w:rsid w:val="00920322"/>
    <w:rsid w:val="009209FC"/>
    <w:rsid w:val="00935708"/>
    <w:rsid w:val="00941913"/>
    <w:rsid w:val="00946C48"/>
    <w:rsid w:val="00950E0A"/>
    <w:rsid w:val="00952321"/>
    <w:rsid w:val="00956102"/>
    <w:rsid w:val="00957BE4"/>
    <w:rsid w:val="00974F49"/>
    <w:rsid w:val="0097500D"/>
    <w:rsid w:val="0098784D"/>
    <w:rsid w:val="009908C9"/>
    <w:rsid w:val="00991830"/>
    <w:rsid w:val="009943C3"/>
    <w:rsid w:val="00995C16"/>
    <w:rsid w:val="009A336A"/>
    <w:rsid w:val="009A6E3E"/>
    <w:rsid w:val="009B1E35"/>
    <w:rsid w:val="009C0992"/>
    <w:rsid w:val="009C67DB"/>
    <w:rsid w:val="009D1E4F"/>
    <w:rsid w:val="009D6F64"/>
    <w:rsid w:val="009D75DD"/>
    <w:rsid w:val="009E788B"/>
    <w:rsid w:val="009F1EEE"/>
    <w:rsid w:val="009F3520"/>
    <w:rsid w:val="009F3747"/>
    <w:rsid w:val="00A01E2A"/>
    <w:rsid w:val="00A07A21"/>
    <w:rsid w:val="00A2504D"/>
    <w:rsid w:val="00A256B0"/>
    <w:rsid w:val="00A3329E"/>
    <w:rsid w:val="00A40E38"/>
    <w:rsid w:val="00A427C9"/>
    <w:rsid w:val="00A4628B"/>
    <w:rsid w:val="00A46728"/>
    <w:rsid w:val="00A63E24"/>
    <w:rsid w:val="00A70507"/>
    <w:rsid w:val="00A75E59"/>
    <w:rsid w:val="00A7753B"/>
    <w:rsid w:val="00A81425"/>
    <w:rsid w:val="00A818E6"/>
    <w:rsid w:val="00A8236E"/>
    <w:rsid w:val="00A9097F"/>
    <w:rsid w:val="00A9218E"/>
    <w:rsid w:val="00A96B45"/>
    <w:rsid w:val="00AA2CEC"/>
    <w:rsid w:val="00AA3A3C"/>
    <w:rsid w:val="00AB7421"/>
    <w:rsid w:val="00AC0223"/>
    <w:rsid w:val="00AC2ED3"/>
    <w:rsid w:val="00AC30BC"/>
    <w:rsid w:val="00AC795B"/>
    <w:rsid w:val="00AD0253"/>
    <w:rsid w:val="00AD02C7"/>
    <w:rsid w:val="00AD2880"/>
    <w:rsid w:val="00AD44BC"/>
    <w:rsid w:val="00AD4B34"/>
    <w:rsid w:val="00AD5715"/>
    <w:rsid w:val="00AD5C71"/>
    <w:rsid w:val="00AE32E2"/>
    <w:rsid w:val="00AF05E6"/>
    <w:rsid w:val="00AF0F18"/>
    <w:rsid w:val="00AF1123"/>
    <w:rsid w:val="00AF7256"/>
    <w:rsid w:val="00AF7DE1"/>
    <w:rsid w:val="00B03718"/>
    <w:rsid w:val="00B03ED2"/>
    <w:rsid w:val="00B0495A"/>
    <w:rsid w:val="00B11014"/>
    <w:rsid w:val="00B12D8E"/>
    <w:rsid w:val="00B13B2A"/>
    <w:rsid w:val="00B24E8A"/>
    <w:rsid w:val="00B255D6"/>
    <w:rsid w:val="00B273B2"/>
    <w:rsid w:val="00B33817"/>
    <w:rsid w:val="00B41097"/>
    <w:rsid w:val="00B41C1E"/>
    <w:rsid w:val="00B436A6"/>
    <w:rsid w:val="00B56FED"/>
    <w:rsid w:val="00B608CA"/>
    <w:rsid w:val="00B63295"/>
    <w:rsid w:val="00B65B9D"/>
    <w:rsid w:val="00B67099"/>
    <w:rsid w:val="00B71B98"/>
    <w:rsid w:val="00B72BA0"/>
    <w:rsid w:val="00B753E5"/>
    <w:rsid w:val="00B83194"/>
    <w:rsid w:val="00B94AFA"/>
    <w:rsid w:val="00B964FD"/>
    <w:rsid w:val="00BA1C7D"/>
    <w:rsid w:val="00BA3386"/>
    <w:rsid w:val="00BA624F"/>
    <w:rsid w:val="00BB34FB"/>
    <w:rsid w:val="00BB3AE8"/>
    <w:rsid w:val="00BC25C8"/>
    <w:rsid w:val="00BC3C28"/>
    <w:rsid w:val="00BC535B"/>
    <w:rsid w:val="00BD18DC"/>
    <w:rsid w:val="00BD47E9"/>
    <w:rsid w:val="00BE1A2E"/>
    <w:rsid w:val="00BE2F81"/>
    <w:rsid w:val="00BF7638"/>
    <w:rsid w:val="00C02FD3"/>
    <w:rsid w:val="00C219F2"/>
    <w:rsid w:val="00C3041E"/>
    <w:rsid w:val="00C51751"/>
    <w:rsid w:val="00C730BB"/>
    <w:rsid w:val="00C814AC"/>
    <w:rsid w:val="00C84248"/>
    <w:rsid w:val="00C871DB"/>
    <w:rsid w:val="00C87F76"/>
    <w:rsid w:val="00CA0BBD"/>
    <w:rsid w:val="00CA2115"/>
    <w:rsid w:val="00CB7938"/>
    <w:rsid w:val="00CD2716"/>
    <w:rsid w:val="00CE05A8"/>
    <w:rsid w:val="00CE30C0"/>
    <w:rsid w:val="00CE6DEB"/>
    <w:rsid w:val="00CF297C"/>
    <w:rsid w:val="00D010CB"/>
    <w:rsid w:val="00D03B83"/>
    <w:rsid w:val="00D05BD7"/>
    <w:rsid w:val="00D1197C"/>
    <w:rsid w:val="00D1275D"/>
    <w:rsid w:val="00D2077D"/>
    <w:rsid w:val="00D25097"/>
    <w:rsid w:val="00D27DAF"/>
    <w:rsid w:val="00D42E36"/>
    <w:rsid w:val="00D45573"/>
    <w:rsid w:val="00D460D7"/>
    <w:rsid w:val="00D46FDB"/>
    <w:rsid w:val="00D51E46"/>
    <w:rsid w:val="00D605E1"/>
    <w:rsid w:val="00D63C11"/>
    <w:rsid w:val="00D65003"/>
    <w:rsid w:val="00D76419"/>
    <w:rsid w:val="00D841BC"/>
    <w:rsid w:val="00D96860"/>
    <w:rsid w:val="00DA1E9A"/>
    <w:rsid w:val="00DA2048"/>
    <w:rsid w:val="00DA2070"/>
    <w:rsid w:val="00DA4E34"/>
    <w:rsid w:val="00DA6042"/>
    <w:rsid w:val="00DA6A3A"/>
    <w:rsid w:val="00DA788E"/>
    <w:rsid w:val="00DB4D42"/>
    <w:rsid w:val="00DB7EDF"/>
    <w:rsid w:val="00DC262C"/>
    <w:rsid w:val="00DD0706"/>
    <w:rsid w:val="00DE01A4"/>
    <w:rsid w:val="00DF5DDE"/>
    <w:rsid w:val="00E03245"/>
    <w:rsid w:val="00E15D17"/>
    <w:rsid w:val="00E15DC6"/>
    <w:rsid w:val="00E17C00"/>
    <w:rsid w:val="00E21921"/>
    <w:rsid w:val="00E35A5A"/>
    <w:rsid w:val="00E456B7"/>
    <w:rsid w:val="00E50519"/>
    <w:rsid w:val="00E60886"/>
    <w:rsid w:val="00E63A5E"/>
    <w:rsid w:val="00E75775"/>
    <w:rsid w:val="00E7745F"/>
    <w:rsid w:val="00E834C5"/>
    <w:rsid w:val="00E84A38"/>
    <w:rsid w:val="00E87039"/>
    <w:rsid w:val="00E90951"/>
    <w:rsid w:val="00EA6727"/>
    <w:rsid w:val="00EA77A5"/>
    <w:rsid w:val="00EB1545"/>
    <w:rsid w:val="00EB26F5"/>
    <w:rsid w:val="00EB3C61"/>
    <w:rsid w:val="00EB506C"/>
    <w:rsid w:val="00EB5219"/>
    <w:rsid w:val="00EC29BE"/>
    <w:rsid w:val="00EC47CF"/>
    <w:rsid w:val="00EC5315"/>
    <w:rsid w:val="00ED0BBE"/>
    <w:rsid w:val="00ED50E9"/>
    <w:rsid w:val="00ED752D"/>
    <w:rsid w:val="00ED7B3B"/>
    <w:rsid w:val="00EE1758"/>
    <w:rsid w:val="00EF0DE5"/>
    <w:rsid w:val="00EF4923"/>
    <w:rsid w:val="00F01A1E"/>
    <w:rsid w:val="00F01C3D"/>
    <w:rsid w:val="00F07867"/>
    <w:rsid w:val="00F1229F"/>
    <w:rsid w:val="00F12561"/>
    <w:rsid w:val="00F259C0"/>
    <w:rsid w:val="00F25AC8"/>
    <w:rsid w:val="00F26D1A"/>
    <w:rsid w:val="00F30C12"/>
    <w:rsid w:val="00F32115"/>
    <w:rsid w:val="00F36EB5"/>
    <w:rsid w:val="00F4128E"/>
    <w:rsid w:val="00F46276"/>
    <w:rsid w:val="00F500B1"/>
    <w:rsid w:val="00F52721"/>
    <w:rsid w:val="00F552BD"/>
    <w:rsid w:val="00F62B50"/>
    <w:rsid w:val="00F74048"/>
    <w:rsid w:val="00FA2159"/>
    <w:rsid w:val="00FA25E2"/>
    <w:rsid w:val="00FA4FAF"/>
    <w:rsid w:val="00FB0411"/>
    <w:rsid w:val="00FB2295"/>
    <w:rsid w:val="00FB3A68"/>
    <w:rsid w:val="00FB66F6"/>
    <w:rsid w:val="00FB6C8A"/>
    <w:rsid w:val="00FD3186"/>
    <w:rsid w:val="00FE1C48"/>
    <w:rsid w:val="00FE2173"/>
    <w:rsid w:val="00FE30A4"/>
    <w:rsid w:val="00FF4314"/>
    <w:rsid w:val="00FF5378"/>
    <w:rsid w:val="1D2167B2"/>
    <w:rsid w:val="29F71F41"/>
    <w:rsid w:val="37EF1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C6C60"/>
  <w15:docId w15:val="{28D2599D-E1C2-4325-8A5F-C19E5F45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next w:val="a0"/>
    <w:link w:val="20"/>
    <w:qFormat/>
    <w:pPr>
      <w:keepNext/>
      <w:keepLines/>
      <w:spacing w:before="260" w:after="260" w:line="416" w:lineRule="auto"/>
      <w:outlineLvl w:val="1"/>
    </w:pPr>
    <w:rPr>
      <w:rFonts w:ascii="Arial" w:eastAsia="黑体" w:hAnsi="Arial" w:cs="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rPr>
      <w:rFonts w:ascii="Times New Roman" w:eastAsia="宋体" w:hAnsi="Times New Roman" w:cs="Times New Roman"/>
      <w:szCs w:val="24"/>
    </w:rPr>
  </w:style>
  <w:style w:type="paragraph" w:styleId="7">
    <w:name w:val="toc 7"/>
    <w:basedOn w:val="a"/>
    <w:next w:val="a"/>
    <w:semiHidden/>
    <w:qFormat/>
    <w:pPr>
      <w:ind w:leftChars="1200" w:left="2520"/>
    </w:pPr>
    <w:rPr>
      <w:rFonts w:ascii="Times New Roman" w:eastAsia="宋体" w:hAnsi="Times New Roman" w:cs="Times New Roman"/>
      <w:szCs w:val="24"/>
    </w:rPr>
  </w:style>
  <w:style w:type="paragraph" w:styleId="a4">
    <w:name w:val="annotation text"/>
    <w:basedOn w:val="a"/>
    <w:link w:val="1"/>
    <w:qFormat/>
    <w:pPr>
      <w:jc w:val="left"/>
    </w:pPr>
    <w:rPr>
      <w:rFonts w:ascii="Times New Roman" w:eastAsia="宋体" w:hAnsi="Times New Roman" w:cs="Times New Roman"/>
      <w:szCs w:val="24"/>
    </w:rPr>
  </w:style>
  <w:style w:type="paragraph" w:styleId="a5">
    <w:name w:val="Body Text"/>
    <w:basedOn w:val="a"/>
    <w:link w:val="a6"/>
    <w:pPr>
      <w:spacing w:line="360" w:lineRule="auto"/>
    </w:pPr>
    <w:rPr>
      <w:rFonts w:ascii="仿宋_GB2312" w:eastAsia="仿宋_GB2312" w:hAnsi="Times New Roman" w:cs="Times New Roman"/>
      <w:color w:val="000000"/>
      <w:kern w:val="0"/>
      <w:sz w:val="24"/>
      <w:szCs w:val="28"/>
    </w:rPr>
  </w:style>
  <w:style w:type="paragraph" w:styleId="a7">
    <w:name w:val="Body Text Indent"/>
    <w:basedOn w:val="a"/>
    <w:link w:val="a8"/>
    <w:qFormat/>
    <w:pPr>
      <w:adjustRightInd w:val="0"/>
      <w:snapToGrid w:val="0"/>
      <w:spacing w:line="560" w:lineRule="exact"/>
      <w:ind w:firstLineChars="200" w:firstLine="480"/>
    </w:pPr>
    <w:rPr>
      <w:rFonts w:ascii="Times New Roman" w:eastAsia="方正仿宋简体" w:hAnsi="Times New Roman" w:cs="Times New Roman"/>
      <w:sz w:val="24"/>
      <w:szCs w:val="30"/>
    </w:rPr>
  </w:style>
  <w:style w:type="paragraph" w:styleId="5">
    <w:name w:val="toc 5"/>
    <w:basedOn w:val="a"/>
    <w:next w:val="a"/>
    <w:semiHidden/>
    <w:qFormat/>
    <w:pPr>
      <w:ind w:leftChars="800" w:left="1680"/>
    </w:pPr>
    <w:rPr>
      <w:rFonts w:ascii="Times New Roman" w:eastAsia="宋体" w:hAnsi="Times New Roman" w:cs="Times New Roman"/>
      <w:szCs w:val="24"/>
    </w:rPr>
  </w:style>
  <w:style w:type="paragraph" w:styleId="3">
    <w:name w:val="toc 3"/>
    <w:basedOn w:val="a"/>
    <w:next w:val="a"/>
    <w:semiHidden/>
    <w:qFormat/>
    <w:pPr>
      <w:ind w:leftChars="400" w:left="840"/>
    </w:pPr>
    <w:rPr>
      <w:rFonts w:ascii="Times New Roman" w:eastAsia="宋体" w:hAnsi="Times New Roman" w:cs="Times New Roman"/>
      <w:szCs w:val="24"/>
    </w:rPr>
  </w:style>
  <w:style w:type="paragraph" w:styleId="8">
    <w:name w:val="toc 8"/>
    <w:basedOn w:val="a"/>
    <w:next w:val="a"/>
    <w:semiHidden/>
    <w:qFormat/>
    <w:pPr>
      <w:ind w:leftChars="1400" w:left="2940"/>
    </w:pPr>
    <w:rPr>
      <w:rFonts w:ascii="Times New Roman" w:eastAsia="宋体" w:hAnsi="Times New Roman" w:cs="Times New Roman"/>
      <w:szCs w:val="24"/>
    </w:rPr>
  </w:style>
  <w:style w:type="paragraph" w:styleId="21">
    <w:name w:val="Body Text Indent 2"/>
    <w:basedOn w:val="a"/>
    <w:link w:val="22"/>
    <w:qFormat/>
    <w:pPr>
      <w:spacing w:line="360" w:lineRule="auto"/>
      <w:ind w:firstLine="525"/>
    </w:pPr>
    <w:rPr>
      <w:rFonts w:ascii="宋体" w:eastAsia="宋体" w:hAnsi="宋体" w:cs="Times New Roman"/>
      <w:sz w:val="28"/>
      <w:szCs w:val="20"/>
    </w:rPr>
  </w:style>
  <w:style w:type="paragraph" w:styleId="a9">
    <w:name w:val="Balloon Text"/>
    <w:basedOn w:val="a"/>
    <w:link w:val="aa"/>
    <w:semiHidden/>
    <w:qFormat/>
    <w:rPr>
      <w:rFonts w:ascii="Times New Roman" w:eastAsia="宋体" w:hAnsi="Times New Roman" w:cs="Times New Roman"/>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semiHidden/>
    <w:qFormat/>
    <w:rPr>
      <w:rFonts w:ascii="Times New Roman" w:eastAsia="宋体" w:hAnsi="Times New Roman" w:cs="Times New Roman"/>
      <w:szCs w:val="24"/>
    </w:rPr>
  </w:style>
  <w:style w:type="paragraph" w:styleId="4">
    <w:name w:val="toc 4"/>
    <w:basedOn w:val="a"/>
    <w:next w:val="a"/>
    <w:semiHidden/>
    <w:qFormat/>
    <w:pPr>
      <w:ind w:leftChars="600" w:left="1260"/>
    </w:pPr>
    <w:rPr>
      <w:rFonts w:ascii="Times New Roman" w:eastAsia="宋体" w:hAnsi="Times New Roman" w:cs="Times New Roman"/>
      <w:szCs w:val="24"/>
    </w:rPr>
  </w:style>
  <w:style w:type="paragraph" w:styleId="6">
    <w:name w:val="toc 6"/>
    <w:basedOn w:val="a"/>
    <w:next w:val="a"/>
    <w:semiHidden/>
    <w:qFormat/>
    <w:pPr>
      <w:ind w:leftChars="1000" w:left="2100"/>
    </w:pPr>
    <w:rPr>
      <w:rFonts w:ascii="Times New Roman" w:eastAsia="宋体" w:hAnsi="Times New Roman" w:cs="Times New Roman"/>
      <w:szCs w:val="24"/>
    </w:rPr>
  </w:style>
  <w:style w:type="paragraph" w:styleId="30">
    <w:name w:val="Body Text Indent 3"/>
    <w:basedOn w:val="a"/>
    <w:link w:val="31"/>
    <w:qFormat/>
    <w:pPr>
      <w:adjustRightInd w:val="0"/>
      <w:snapToGrid w:val="0"/>
      <w:ind w:firstLineChars="200" w:firstLine="480"/>
    </w:pPr>
    <w:rPr>
      <w:rFonts w:ascii="仿宋_GB2312" w:eastAsia="仿宋_GB2312" w:hAnsi="宋体" w:cs="Arial"/>
      <w:color w:val="000000"/>
      <w:sz w:val="24"/>
      <w:szCs w:val="24"/>
    </w:rPr>
  </w:style>
  <w:style w:type="paragraph" w:styleId="23">
    <w:name w:val="toc 2"/>
    <w:basedOn w:val="a"/>
    <w:next w:val="a"/>
    <w:semiHidden/>
    <w:qFormat/>
    <w:pPr>
      <w:tabs>
        <w:tab w:val="right" w:leader="dot" w:pos="8494"/>
      </w:tabs>
      <w:ind w:leftChars="200" w:left="420"/>
    </w:pPr>
    <w:rPr>
      <w:rFonts w:ascii="Times New Roman" w:eastAsia="宋体" w:hAnsi="Times New Roman" w:cs="Times New Roman"/>
      <w:szCs w:val="24"/>
    </w:rPr>
  </w:style>
  <w:style w:type="paragraph" w:styleId="9">
    <w:name w:val="toc 9"/>
    <w:basedOn w:val="a"/>
    <w:next w:val="a"/>
    <w:semiHidden/>
    <w:qFormat/>
    <w:pPr>
      <w:ind w:leftChars="1600" w:left="3360"/>
    </w:pPr>
    <w:rPr>
      <w:rFonts w:ascii="Times New Roman" w:eastAsia="宋体" w:hAnsi="Times New Roman" w:cs="Times New Roman"/>
      <w:szCs w:val="24"/>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f">
    <w:name w:val="Normal (Web)"/>
    <w:basedOn w:val="a"/>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styleId="af0">
    <w:name w:val="annotation subject"/>
    <w:basedOn w:val="a4"/>
    <w:next w:val="a4"/>
    <w:link w:val="af1"/>
    <w:qFormat/>
    <w:rPr>
      <w:b/>
      <w:bCs/>
    </w:rPr>
  </w:style>
  <w:style w:type="character" w:styleId="af2">
    <w:name w:val="Strong"/>
    <w:qFormat/>
    <w:rPr>
      <w:b/>
      <w:bCs/>
    </w:rPr>
  </w:style>
  <w:style w:type="character" w:styleId="af3">
    <w:name w:val="page number"/>
    <w:basedOn w:val="a1"/>
  </w:style>
  <w:style w:type="character" w:styleId="af4">
    <w:name w:val="FollowedHyperlink"/>
    <w:basedOn w:val="a1"/>
    <w:uiPriority w:val="99"/>
    <w:semiHidden/>
    <w:unhideWhenUsed/>
    <w:qFormat/>
    <w:rPr>
      <w:color w:val="954F72" w:themeColor="followedHyperlink"/>
      <w:u w:val="single"/>
    </w:rPr>
  </w:style>
  <w:style w:type="character" w:styleId="af5">
    <w:name w:val="Hyperlink"/>
    <w:qFormat/>
    <w:rPr>
      <w:color w:val="0000FF"/>
      <w:u w:val="single"/>
    </w:rPr>
  </w:style>
  <w:style w:type="character" w:styleId="af6">
    <w:name w:val="annotation reference"/>
    <w:qFormat/>
    <w:rPr>
      <w:sz w:val="21"/>
      <w:szCs w:val="21"/>
    </w:rPr>
  </w:style>
  <w:style w:type="character" w:customStyle="1" w:styleId="ae">
    <w:name w:val="页眉 字符"/>
    <w:basedOn w:val="a1"/>
    <w:link w:val="ad"/>
    <w:uiPriority w:val="99"/>
    <w:qFormat/>
    <w:rPr>
      <w:sz w:val="18"/>
      <w:szCs w:val="18"/>
    </w:rPr>
  </w:style>
  <w:style w:type="character" w:customStyle="1" w:styleId="ac">
    <w:name w:val="页脚 字符"/>
    <w:basedOn w:val="a1"/>
    <w:link w:val="ab"/>
    <w:uiPriority w:val="99"/>
    <w:qFormat/>
    <w:rPr>
      <w:sz w:val="18"/>
      <w:szCs w:val="18"/>
    </w:rPr>
  </w:style>
  <w:style w:type="character" w:customStyle="1" w:styleId="20">
    <w:name w:val="标题 2 字符"/>
    <w:basedOn w:val="a1"/>
    <w:link w:val="2"/>
    <w:qFormat/>
    <w:rPr>
      <w:rFonts w:ascii="Arial" w:eastAsia="黑体" w:hAnsi="Arial" w:cs="Times New Roman"/>
      <w:b/>
      <w:sz w:val="32"/>
      <w:szCs w:val="20"/>
    </w:rPr>
  </w:style>
  <w:style w:type="paragraph" w:customStyle="1" w:styleId="wz1">
    <w:name w:val="wz1"/>
    <w:basedOn w:val="a"/>
    <w:qFormat/>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rPr>
  </w:style>
  <w:style w:type="character" w:customStyle="1" w:styleId="a6">
    <w:name w:val="正文文本 字符"/>
    <w:basedOn w:val="a1"/>
    <w:link w:val="a5"/>
    <w:qFormat/>
    <w:rPr>
      <w:rFonts w:ascii="仿宋_GB2312" w:eastAsia="仿宋_GB2312" w:hAnsi="Times New Roman" w:cs="Times New Roman"/>
      <w:color w:val="000000"/>
      <w:kern w:val="0"/>
      <w:sz w:val="24"/>
      <w:szCs w:val="28"/>
    </w:rPr>
  </w:style>
  <w:style w:type="character" w:customStyle="1" w:styleId="read">
    <w:name w:val="read"/>
    <w:basedOn w:val="a1"/>
    <w:qFormat/>
  </w:style>
  <w:style w:type="character" w:customStyle="1" w:styleId="a8">
    <w:name w:val="正文文本缩进 字符"/>
    <w:basedOn w:val="a1"/>
    <w:link w:val="a7"/>
    <w:qFormat/>
    <w:rPr>
      <w:rFonts w:ascii="Times New Roman" w:eastAsia="方正仿宋简体" w:hAnsi="Times New Roman" w:cs="Times New Roman"/>
      <w:sz w:val="24"/>
      <w:szCs w:val="30"/>
    </w:rPr>
  </w:style>
  <w:style w:type="character" w:customStyle="1" w:styleId="22">
    <w:name w:val="正文文本缩进 2 字符"/>
    <w:basedOn w:val="a1"/>
    <w:link w:val="21"/>
    <w:qFormat/>
    <w:rPr>
      <w:rFonts w:ascii="宋体" w:eastAsia="宋体" w:hAnsi="宋体" w:cs="Times New Roman"/>
      <w:sz w:val="28"/>
      <w:szCs w:val="20"/>
    </w:rPr>
  </w:style>
  <w:style w:type="character" w:customStyle="1" w:styleId="31">
    <w:name w:val="正文文本缩进 3 字符"/>
    <w:basedOn w:val="a1"/>
    <w:link w:val="30"/>
    <w:qFormat/>
    <w:rPr>
      <w:rFonts w:ascii="仿宋_GB2312" w:eastAsia="仿宋_GB2312" w:hAnsi="宋体" w:cs="Arial"/>
      <w:color w:val="000000"/>
      <w:sz w:val="24"/>
      <w:szCs w:val="24"/>
    </w:rPr>
  </w:style>
  <w:style w:type="character" w:customStyle="1" w:styleId="aa">
    <w:name w:val="批注框文本 字符"/>
    <w:basedOn w:val="a1"/>
    <w:link w:val="a9"/>
    <w:semiHidden/>
    <w:qFormat/>
    <w:rPr>
      <w:rFonts w:ascii="Times New Roman" w:eastAsia="宋体" w:hAnsi="Times New Roman" w:cs="Times New Roman"/>
      <w:sz w:val="18"/>
      <w:szCs w:val="18"/>
    </w:rPr>
  </w:style>
  <w:style w:type="paragraph" w:customStyle="1" w:styleId="Char">
    <w:name w:val="Char"/>
    <w:basedOn w:val="a"/>
    <w:qFormat/>
    <w:rPr>
      <w:rFonts w:ascii="Times New Roman" w:eastAsia="宋体" w:hAnsi="Times New Roman" w:cs="Times New Roman"/>
      <w:szCs w:val="24"/>
    </w:rPr>
  </w:style>
  <w:style w:type="paragraph" w:customStyle="1" w:styleId="Char1">
    <w:name w:val="Char1"/>
    <w:basedOn w:val="a"/>
    <w:qFormat/>
    <w:pPr>
      <w:tabs>
        <w:tab w:val="left" w:pos="832"/>
      </w:tabs>
      <w:ind w:left="832" w:hanging="420"/>
      <w:jc w:val="center"/>
    </w:pPr>
    <w:rPr>
      <w:rFonts w:ascii="楷体_GB2312" w:eastAsia="楷体_GB2312" w:hAnsi="Times New Roman" w:cs="Times New Roman"/>
      <w:b/>
      <w:color w:val="000080"/>
      <w:sz w:val="30"/>
      <w:szCs w:val="30"/>
    </w:rPr>
  </w:style>
  <w:style w:type="paragraph" w:customStyle="1" w:styleId="CharCharChar">
    <w:name w:val="Char Char Char"/>
    <w:basedOn w:val="a"/>
    <w:qFormat/>
    <w:rPr>
      <w:rFonts w:ascii="Times New Roman" w:eastAsia="宋体" w:hAnsi="Times New Roman" w:cs="Times New Roman"/>
      <w:szCs w:val="24"/>
    </w:rPr>
  </w:style>
  <w:style w:type="character" w:customStyle="1" w:styleId="1">
    <w:name w:val="批注文字 字符1"/>
    <w:basedOn w:val="a1"/>
    <w:link w:val="a4"/>
    <w:semiHidden/>
    <w:qFormat/>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qFormat/>
    <w:rPr>
      <w:rFonts w:ascii="Times New Roman" w:eastAsia="宋体" w:hAnsi="Times New Roman" w:cs="Times New Roman"/>
      <w:szCs w:val="24"/>
    </w:rPr>
  </w:style>
  <w:style w:type="paragraph" w:customStyle="1" w:styleId="CharChar">
    <w:name w:val="Char Char"/>
    <w:basedOn w:val="a"/>
    <w:qFormat/>
    <w:rPr>
      <w:rFonts w:ascii="Times New Roman" w:eastAsia="宋体" w:hAnsi="Times New Roman" w:cs="Times New Roman"/>
      <w:szCs w:val="20"/>
    </w:rPr>
  </w:style>
  <w:style w:type="character" w:customStyle="1" w:styleId="HTML0">
    <w:name w:val="HTML 预设格式 字符"/>
    <w:basedOn w:val="a1"/>
    <w:link w:val="HTML"/>
    <w:uiPriority w:val="99"/>
    <w:qFormat/>
    <w:rPr>
      <w:rFonts w:ascii="宋体" w:eastAsia="宋体" w:hAnsi="宋体" w:cs="宋体"/>
      <w:kern w:val="0"/>
      <w:sz w:val="24"/>
      <w:szCs w:val="24"/>
    </w:rPr>
  </w:style>
  <w:style w:type="character" w:customStyle="1" w:styleId="af1">
    <w:name w:val="批注主题 字符"/>
    <w:basedOn w:val="1"/>
    <w:link w:val="af0"/>
    <w:qFormat/>
    <w:rPr>
      <w:rFonts w:ascii="Times New Roman" w:eastAsia="宋体" w:hAnsi="Times New Roman" w:cs="Times New Roman"/>
      <w:b/>
      <w:bCs/>
      <w:szCs w:val="24"/>
    </w:rPr>
  </w:style>
  <w:style w:type="paragraph" w:customStyle="1" w:styleId="11">
    <w:name w:val="1"/>
    <w:uiPriority w:val="99"/>
    <w:unhideWhenUsed/>
    <w:qFormat/>
    <w:pPr>
      <w:widowControl w:val="0"/>
      <w:jc w:val="both"/>
    </w:pPr>
    <w:rPr>
      <w:kern w:val="2"/>
      <w:sz w:val="21"/>
      <w:szCs w:val="22"/>
    </w:rPr>
  </w:style>
  <w:style w:type="paragraph" w:customStyle="1" w:styleId="12">
    <w:name w:val="修订1"/>
    <w:hidden/>
    <w:uiPriority w:val="99"/>
    <w:semiHidden/>
    <w:qFormat/>
    <w:rPr>
      <w:rFonts w:ascii="Times New Roman" w:eastAsia="宋体" w:hAnsi="Times New Roman" w:cs="Times New Roman"/>
      <w:kern w:val="2"/>
      <w:sz w:val="21"/>
      <w:szCs w:val="24"/>
    </w:rPr>
  </w:style>
  <w:style w:type="paragraph" w:customStyle="1" w:styleId="CharChar1">
    <w:name w:val="Char Char1"/>
    <w:basedOn w:val="a"/>
    <w:qFormat/>
    <w:rPr>
      <w:rFonts w:ascii="Times New Roman" w:eastAsia="宋体" w:hAnsi="Times New Roman" w:cs="Times New Roman"/>
      <w:szCs w:val="20"/>
    </w:rPr>
  </w:style>
  <w:style w:type="character" w:customStyle="1" w:styleId="Char0">
    <w:name w:val="批注文字 Char"/>
    <w:qFormat/>
    <w:rPr>
      <w:rFonts w:ascii="Times New Roman" w:eastAsia="宋体" w:hAnsi="Times New Roman" w:cs="Times New Roman"/>
      <w:szCs w:val="24"/>
    </w:rPr>
  </w:style>
  <w:style w:type="character" w:customStyle="1" w:styleId="2Char">
    <w:name w:val="标题 2 Char"/>
    <w:qFormat/>
    <w:rPr>
      <w:rFonts w:ascii="Arial" w:eastAsia="黑体" w:hAnsi="Arial" w:cs="Times New Roman"/>
      <w:b/>
      <w:sz w:val="32"/>
      <w:szCs w:val="20"/>
    </w:rPr>
  </w:style>
  <w:style w:type="paragraph" w:customStyle="1" w:styleId="CharChar2">
    <w:name w:val="Char Char2"/>
    <w:basedOn w:val="a"/>
    <w:qFormat/>
    <w:rPr>
      <w:rFonts w:ascii="Times New Roman" w:eastAsia="宋体" w:hAnsi="Times New Roman" w:cs="Times New Roman"/>
      <w:szCs w:val="20"/>
    </w:rPr>
  </w:style>
  <w:style w:type="character" w:customStyle="1" w:styleId="af7">
    <w:name w:val="批注文字 字符"/>
    <w:qFormat/>
    <w:rPr>
      <w:kern w:val="2"/>
      <w:sz w:val="21"/>
    </w:rPr>
  </w:style>
  <w:style w:type="paragraph" w:customStyle="1" w:styleId="24">
    <w:name w:val="修订2"/>
    <w:hidden/>
    <w:uiPriority w:val="99"/>
    <w:semiHidden/>
    <w:qFormat/>
    <w:rPr>
      <w:kern w:val="2"/>
      <w:sz w:val="21"/>
      <w:szCs w:val="22"/>
    </w:rPr>
  </w:style>
  <w:style w:type="character" w:customStyle="1" w:styleId="Char2">
    <w:name w:val="批注文字 Char2"/>
    <w:qFormat/>
    <w:rPr>
      <w:kern w:val="2"/>
      <w:sz w:val="21"/>
    </w:rPr>
  </w:style>
  <w:style w:type="paragraph" w:customStyle="1" w:styleId="CharChar3">
    <w:name w:val="Char Char3"/>
    <w:basedOn w:val="a"/>
    <w:qFormat/>
    <w:rPr>
      <w:rFonts w:ascii="Times New Roman" w:eastAsia="宋体" w:hAnsi="Times New Roman" w:cs="Times New Roman"/>
      <w:szCs w:val="20"/>
    </w:rPr>
  </w:style>
  <w:style w:type="paragraph" w:customStyle="1" w:styleId="CharChar4">
    <w:name w:val="Char Char4"/>
    <w:basedOn w:val="a"/>
    <w:qFormat/>
    <w:rPr>
      <w:rFonts w:ascii="Times New Roman" w:eastAsia="宋体" w:hAnsi="Times New Roman" w:cs="Times New Roman"/>
      <w:szCs w:val="20"/>
    </w:rPr>
  </w:style>
  <w:style w:type="paragraph" w:customStyle="1" w:styleId="32">
    <w:name w:val="修订3"/>
    <w:hidden/>
    <w:uiPriority w:val="99"/>
    <w:semiHidden/>
    <w:rPr>
      <w:kern w:val="2"/>
      <w:sz w:val="21"/>
      <w:szCs w:val="22"/>
    </w:rPr>
  </w:style>
  <w:style w:type="paragraph" w:customStyle="1" w:styleId="CharChar5">
    <w:name w:val="Char Char5"/>
    <w:basedOn w:val="a"/>
    <w:rPr>
      <w:rFonts w:ascii="Times New Roman" w:eastAsia="宋体" w:hAnsi="Times New Roman" w:cs="Times New Roman"/>
      <w:szCs w:val="20"/>
    </w:rPr>
  </w:style>
  <w:style w:type="character" w:customStyle="1" w:styleId="25">
    <w:name w:val="批注文字 字符2"/>
    <w:qFormat/>
    <w:rPr>
      <w:rFonts w:ascii="Times New Roman" w:eastAsia="宋体" w:hAnsi="Times New Roman" w:cs="Times New Roman"/>
      <w:szCs w:val="24"/>
    </w:rPr>
  </w:style>
  <w:style w:type="paragraph" w:styleId="af8">
    <w:name w:val="Revision"/>
    <w:hidden/>
    <w:uiPriority w:val="99"/>
    <w:semiHidden/>
    <w:rsid w:val="00DE01A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36B21-D80F-40BF-84BD-A7C96ABAE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40</Pages>
  <Words>5343</Words>
  <Characters>30461</Characters>
  <Application>Microsoft Office Word</Application>
  <DocSecurity>0</DocSecurity>
  <Lines>253</Lines>
  <Paragraphs>71</Paragraphs>
  <ScaleCrop>false</ScaleCrop>
  <Company>神州网信技术有限公司</Company>
  <LinksUpToDate>false</LinksUpToDate>
  <CharactersWithSpaces>35733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陈婷婷</dc:creator>
  <cp:lastModifiedBy>张佳雨-0604</cp:lastModifiedBy>
  <cp:revision>46</cp:revision>
  <cp:lastPrinted>2026-04-10T01:39:00Z</cp:lastPrinted>
  <dcterms:created xsi:type="dcterms:W3CDTF">2025-07-23T09:01:00Z</dcterms:created>
  <dcterms:modified xsi:type="dcterms:W3CDTF">2026-06-18T05:37:00Z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eyJoZGlkIjoiMGUxNDJkOGFlNmZmMDgzNGYxODFlNDdiYWYyYTNhMDkiLCJ1c2VySWQiOiIxMjU2MzI2MTQ5In0=</vt:lpwstr>
  </property>
  <property fmtid="{D5CDD505-2E9C-101B-9397-08002B2CF9AE}" pid="3" name="KSOProductBuildVer">
    <vt:lpwstr>2052-11.8.2.12085</vt:lpwstr>
  </property>
  <property fmtid="{D5CDD505-2E9C-101B-9397-08002B2CF9AE}" pid="4" name="ICV">
    <vt:lpwstr>0DCAE969378E49C1865E19364E4F0A54_12</vt:lpwstr>
  </property>
</Properties>
</file>